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180" w:beforeAutospacing="0" w:after="180" w:afterAutospacing="0"/>
        <w:jc w:val="center"/>
        <w:rPr>
          <w:rFonts w:ascii="黑体" w:hAnsi="黑体" w:eastAsia="黑体"/>
          <w:b/>
          <w:bCs/>
          <w:sz w:val="36"/>
          <w:szCs w:val="36"/>
          <w:shd w:val="clear" w:color="auto" w:fill="FFFFFF"/>
        </w:rPr>
      </w:pPr>
      <w:bookmarkStart w:id="1" w:name="_GoBack"/>
      <w:r>
        <w:rPr>
          <w:rFonts w:hint="eastAsia" w:ascii="黑体" w:hAnsi="黑体" w:eastAsia="黑体"/>
          <w:sz w:val="36"/>
          <w:szCs w:val="36"/>
          <w:shd w:val="clear" w:color="auto" w:fill="FFFFFF"/>
        </w:rPr>
        <w:t>上海石油天然气交易中心</w:t>
      </w:r>
    </w:p>
    <w:p>
      <w:pPr>
        <w:pStyle w:val="5"/>
        <w:spacing w:before="180" w:beforeAutospacing="0" w:after="180" w:afterAutospacing="0"/>
        <w:jc w:val="center"/>
        <w:rPr>
          <w:rFonts w:hint="eastAsia" w:ascii="黑体" w:hAnsi="黑体" w:eastAsia="黑体"/>
          <w:b/>
          <w:bCs/>
          <w:sz w:val="36"/>
          <w:szCs w:val="36"/>
          <w:shd w:val="clear" w:color="auto" w:fill="FFFFFF"/>
        </w:rPr>
      </w:pPr>
      <w:r>
        <w:rPr>
          <w:rFonts w:hint="eastAsia" w:ascii="黑体" w:hAnsi="黑体" w:eastAsia="黑体"/>
          <w:sz w:val="36"/>
          <w:szCs w:val="36"/>
          <w:shd w:val="clear" w:color="auto" w:fill="FFFFFF"/>
        </w:rPr>
        <w:t>液化天然气运力挂牌交易细则</w:t>
      </w:r>
    </w:p>
    <w:p>
      <w:pPr>
        <w:pStyle w:val="5"/>
        <w:spacing w:before="180" w:beforeAutospacing="0" w:after="180" w:afterAutospacing="0"/>
        <w:jc w:val="center"/>
        <w:rPr>
          <w:rFonts w:hint="eastAsia" w:ascii="黑体" w:hAnsi="黑体" w:eastAsia="黑体"/>
          <w:b/>
          <w:bCs/>
          <w:sz w:val="36"/>
          <w:szCs w:val="36"/>
          <w:shd w:val="clear" w:color="auto" w:fill="FFFFFF"/>
        </w:rPr>
      </w:pPr>
      <w:r>
        <w:rPr>
          <w:rFonts w:hint="eastAsia" w:ascii="黑体" w:hAnsi="黑体" w:eastAsia="黑体"/>
          <w:sz w:val="36"/>
          <w:szCs w:val="36"/>
          <w:shd w:val="clear" w:color="auto" w:fill="FFFFFF"/>
        </w:rPr>
        <w:t>（试行）</w:t>
      </w:r>
      <w:bookmarkEnd w:id="1"/>
    </w:p>
    <w:p>
      <w:pPr>
        <w:pStyle w:val="5"/>
        <w:spacing w:before="180" w:beforeAutospacing="0" w:after="180" w:afterAutospacing="0"/>
        <w:jc w:val="center"/>
        <w:rPr>
          <w:rFonts w:hint="eastAsia" w:ascii="&amp;quot" w:hAnsi="&amp;quot"/>
          <w:color w:val="333333"/>
          <w:spacing w:val="15"/>
        </w:rPr>
      </w:pPr>
      <w:r>
        <w:rPr>
          <w:rFonts w:ascii="&amp;quot" w:hAnsi="&amp;quot"/>
          <w:color w:val="333333"/>
          <w:spacing w:val="15"/>
        </w:rPr>
        <w:t> </w:t>
      </w:r>
    </w:p>
    <w:p>
      <w:pPr>
        <w:pStyle w:val="5"/>
        <w:spacing w:before="180" w:beforeAutospacing="0" w:after="180" w:afterAutospacing="0"/>
        <w:jc w:val="center"/>
        <w:rPr>
          <w:rFonts w:hint="eastAsia" w:ascii="黑体" w:hAnsi="黑体" w:eastAsia="黑体"/>
          <w:color w:val="333333"/>
          <w:spacing w:val="15"/>
          <w:sz w:val="28"/>
          <w:szCs w:val="28"/>
        </w:rPr>
      </w:pPr>
      <w:r>
        <w:rPr>
          <w:rStyle w:val="8"/>
          <w:rFonts w:hint="eastAsia" w:ascii="黑体" w:hAnsi="黑体" w:eastAsia="黑体"/>
          <w:color w:val="333333"/>
          <w:spacing w:val="15"/>
          <w:sz w:val="28"/>
          <w:szCs w:val="28"/>
        </w:rPr>
        <w:t>第一章 总则</w:t>
      </w:r>
    </w:p>
    <w:p>
      <w:pPr>
        <w:pStyle w:val="5"/>
        <w:spacing w:before="180" w:beforeAutospacing="0" w:after="180" w:afterAutospacing="0"/>
        <w:rPr>
          <w:rFonts w:hint="eastAsia" w:ascii="&amp;quot" w:hAnsi="&amp;quot"/>
          <w:color w:val="333333"/>
          <w:spacing w:val="15"/>
        </w:rPr>
      </w:pPr>
      <w:r>
        <w:rPr>
          <w:rFonts w:ascii="&amp;quot" w:hAnsi="&amp;quot"/>
          <w:color w:val="333333"/>
          <w:spacing w:val="15"/>
        </w:rPr>
        <w:t> </w:t>
      </w:r>
    </w:p>
    <w:p>
      <w:pPr>
        <w:pStyle w:val="5"/>
        <w:spacing w:before="180" w:beforeAutospacing="0" w:after="180" w:afterAutospacing="0"/>
        <w:rPr>
          <w:rFonts w:hint="eastAsia" w:ascii="仿宋" w:hAnsi="仿宋" w:eastAsia="仿宋"/>
          <w:color w:val="333333"/>
          <w:spacing w:val="15"/>
          <w:sz w:val="27"/>
          <w:szCs w:val="27"/>
        </w:rPr>
      </w:pPr>
      <w:r>
        <w:rPr>
          <w:rFonts w:ascii="&amp;quot" w:hAnsi="&amp;quot"/>
          <w:color w:val="333333"/>
          <w:spacing w:val="15"/>
        </w:rPr>
        <w:t>　</w:t>
      </w:r>
      <w:r>
        <w:rPr>
          <w:rFonts w:hint="eastAsia" w:ascii="仿宋" w:hAnsi="仿宋" w:eastAsia="仿宋"/>
          <w:color w:val="333333"/>
          <w:spacing w:val="15"/>
          <w:sz w:val="30"/>
          <w:szCs w:val="30"/>
        </w:rPr>
        <w:t>　</w:t>
      </w:r>
      <w:r>
        <w:rPr>
          <w:rFonts w:hint="eastAsia" w:ascii="仿宋" w:hAnsi="仿宋" w:eastAsia="仿宋"/>
          <w:b/>
          <w:bCs/>
          <w:color w:val="333333"/>
          <w:spacing w:val="15"/>
          <w:sz w:val="30"/>
          <w:szCs w:val="30"/>
        </w:rPr>
        <w:t>第一条</w:t>
      </w:r>
      <w:r>
        <w:rPr>
          <w:rFonts w:ascii="&amp;quot" w:hAnsi="&amp;quot"/>
          <w:color w:val="333333"/>
          <w:spacing w:val="15"/>
        </w:rPr>
        <w:t xml:space="preserve"> </w:t>
      </w:r>
      <w:r>
        <w:rPr>
          <w:rFonts w:hint="eastAsia" w:ascii="仿宋" w:hAnsi="仿宋" w:eastAsia="仿宋"/>
          <w:color w:val="333333"/>
          <w:spacing w:val="15"/>
          <w:sz w:val="27"/>
          <w:szCs w:val="27"/>
        </w:rPr>
        <w:t>为规范上海石油天然气交易中心（以下简称“交易中心”）液化天然气运力挂牌交易的各项行为，维护交易中心液化天然气运力挂牌交易秩序，保障交易各方的合法利益，根据《上海石油天然气交易中心现货交易管理办法（试行）》的规定制定本细则。</w:t>
      </w:r>
    </w:p>
    <w:p>
      <w:pPr>
        <w:pStyle w:val="5"/>
        <w:spacing w:before="180" w:beforeAutospacing="0" w:after="180" w:afterAutospacing="0"/>
        <w:rPr>
          <w:rFonts w:hint="eastAsia" w:ascii="仿宋" w:hAnsi="仿宋" w:eastAsia="仿宋"/>
          <w:color w:val="333333"/>
          <w:spacing w:val="15"/>
          <w:sz w:val="27"/>
          <w:szCs w:val="27"/>
        </w:rPr>
      </w:pPr>
      <w:r>
        <w:rPr>
          <w:rFonts w:hint="eastAsia" w:ascii="仿宋" w:hAnsi="仿宋" w:eastAsia="仿宋"/>
          <w:color w:val="333333"/>
          <w:spacing w:val="15"/>
          <w:sz w:val="30"/>
          <w:szCs w:val="30"/>
        </w:rPr>
        <w:t>　　</w:t>
      </w:r>
      <w:r>
        <w:rPr>
          <w:rFonts w:hint="eastAsia" w:ascii="仿宋" w:hAnsi="仿宋" w:eastAsia="仿宋"/>
          <w:b/>
          <w:bCs/>
          <w:color w:val="333333"/>
          <w:spacing w:val="15"/>
          <w:sz w:val="30"/>
          <w:szCs w:val="30"/>
        </w:rPr>
        <w:t xml:space="preserve">第二条 </w:t>
      </w:r>
      <w:r>
        <w:rPr>
          <w:rFonts w:hint="eastAsia" w:ascii="仿宋" w:hAnsi="仿宋" w:eastAsia="仿宋"/>
          <w:color w:val="333333"/>
          <w:spacing w:val="15"/>
          <w:sz w:val="27"/>
          <w:szCs w:val="27"/>
        </w:rPr>
        <w:t>交易中心遵循公开、公平、公正和诚实信用的原则，利用电子交易方式为交易商提供液化天然气运力挂牌交易服务。</w:t>
      </w:r>
    </w:p>
    <w:p>
      <w:pPr>
        <w:pStyle w:val="5"/>
        <w:spacing w:before="180" w:beforeAutospacing="0" w:after="180" w:afterAutospacing="0"/>
        <w:rPr>
          <w:rFonts w:hint="eastAsia" w:ascii="仿宋" w:hAnsi="仿宋" w:eastAsia="仿宋"/>
          <w:color w:val="333333"/>
          <w:spacing w:val="15"/>
          <w:sz w:val="27"/>
          <w:szCs w:val="27"/>
        </w:rPr>
      </w:pPr>
      <w:r>
        <w:rPr>
          <w:rFonts w:ascii="&amp;quot" w:hAnsi="&amp;quot"/>
          <w:color w:val="333333"/>
          <w:spacing w:val="15"/>
        </w:rPr>
        <w:t>　</w:t>
      </w:r>
      <w:r>
        <w:rPr>
          <w:rFonts w:hint="eastAsia" w:ascii="仿宋" w:hAnsi="仿宋" w:eastAsia="仿宋"/>
          <w:b/>
          <w:bCs/>
          <w:color w:val="333333"/>
          <w:spacing w:val="15"/>
          <w:sz w:val="30"/>
          <w:szCs w:val="30"/>
        </w:rPr>
        <w:t xml:space="preserve">　第三条 </w:t>
      </w:r>
      <w:r>
        <w:rPr>
          <w:rFonts w:hint="eastAsia" w:ascii="仿宋" w:hAnsi="仿宋" w:eastAsia="仿宋"/>
          <w:color w:val="333333"/>
          <w:spacing w:val="15"/>
          <w:sz w:val="27"/>
          <w:szCs w:val="27"/>
        </w:rPr>
        <w:t>本细则适用于交易中心液化天然气运力挂牌交易活动。交易中心、交易商会员、指定结算银行、承运商、信息服务机构、检验机构须遵守本细则。</w:t>
      </w:r>
    </w:p>
    <w:p>
      <w:pPr>
        <w:pStyle w:val="5"/>
        <w:spacing w:before="180" w:beforeAutospacing="0" w:after="180" w:afterAutospacing="0"/>
        <w:rPr>
          <w:rFonts w:hint="eastAsia" w:ascii="仿宋" w:hAnsi="仿宋" w:eastAsia="仿宋"/>
          <w:color w:val="333333"/>
          <w:spacing w:val="15"/>
          <w:sz w:val="27"/>
          <w:szCs w:val="27"/>
        </w:rPr>
      </w:pPr>
      <w:r>
        <w:rPr>
          <w:rFonts w:hint="eastAsia" w:ascii="Calibri" w:hAnsi="Calibri" w:eastAsia="仿宋" w:cs="Calibri"/>
          <w:color w:val="333333"/>
          <w:spacing w:val="15"/>
          <w:sz w:val="27"/>
          <w:szCs w:val="27"/>
        </w:rPr>
        <w:t> </w:t>
      </w:r>
    </w:p>
    <w:p>
      <w:pPr>
        <w:pStyle w:val="5"/>
        <w:spacing w:before="180" w:beforeAutospacing="0" w:after="180" w:afterAutospacing="0"/>
        <w:jc w:val="center"/>
        <w:rPr>
          <w:rStyle w:val="8"/>
          <w:rFonts w:hint="eastAsia" w:ascii="黑体" w:hAnsi="黑体" w:eastAsia="黑体"/>
          <w:sz w:val="28"/>
          <w:szCs w:val="28"/>
        </w:rPr>
      </w:pPr>
      <w:r>
        <w:rPr>
          <w:rStyle w:val="8"/>
          <w:rFonts w:hint="eastAsia" w:ascii="黑体" w:hAnsi="黑体" w:eastAsia="黑体"/>
          <w:color w:val="333333"/>
          <w:spacing w:val="15"/>
          <w:sz w:val="28"/>
          <w:szCs w:val="28"/>
        </w:rPr>
        <w:t>第二章 定义和术语</w:t>
      </w:r>
    </w:p>
    <w:p>
      <w:pPr>
        <w:pStyle w:val="5"/>
        <w:spacing w:before="180" w:beforeAutospacing="0" w:after="180" w:afterAutospacing="0"/>
        <w:rPr>
          <w:rFonts w:hint="eastAsia" w:ascii="&amp;quot" w:hAnsi="&amp;quot"/>
          <w:color w:val="333333"/>
          <w:spacing w:val="15"/>
        </w:rPr>
      </w:pPr>
      <w:r>
        <w:rPr>
          <w:rFonts w:ascii="&amp;quot" w:hAnsi="&amp;quot"/>
          <w:color w:val="333333"/>
          <w:spacing w:val="15"/>
        </w:rPr>
        <w:t> </w:t>
      </w:r>
    </w:p>
    <w:p>
      <w:pPr>
        <w:pStyle w:val="5"/>
        <w:spacing w:before="180" w:beforeAutospacing="0" w:after="180" w:afterAutospacing="0"/>
        <w:rPr>
          <w:rFonts w:hint="eastAsia" w:ascii="仿宋" w:hAnsi="仿宋" w:eastAsia="仿宋"/>
          <w:color w:val="333333"/>
          <w:spacing w:val="15"/>
          <w:sz w:val="27"/>
          <w:szCs w:val="27"/>
        </w:rPr>
      </w:pPr>
      <w:r>
        <w:rPr>
          <w:rFonts w:ascii="&amp;quot" w:hAnsi="&amp;quot"/>
          <w:color w:val="333333"/>
          <w:spacing w:val="15"/>
        </w:rPr>
        <w:t>　</w:t>
      </w:r>
      <w:r>
        <w:rPr>
          <w:rFonts w:hint="eastAsia" w:ascii="仿宋" w:hAnsi="仿宋" w:eastAsia="仿宋"/>
          <w:color w:val="333333"/>
          <w:spacing w:val="15"/>
          <w:sz w:val="30"/>
          <w:szCs w:val="30"/>
        </w:rPr>
        <w:t>　</w:t>
      </w:r>
      <w:r>
        <w:rPr>
          <w:rFonts w:hint="eastAsia" w:ascii="仿宋" w:hAnsi="仿宋" w:eastAsia="仿宋"/>
          <w:b/>
          <w:bCs/>
          <w:color w:val="333333"/>
          <w:spacing w:val="15"/>
          <w:sz w:val="30"/>
          <w:szCs w:val="30"/>
        </w:rPr>
        <w:t>第四条</w:t>
      </w:r>
      <w:r>
        <w:rPr>
          <w:rFonts w:hint="eastAsia" w:ascii="仿宋" w:hAnsi="仿宋" w:eastAsia="仿宋"/>
          <w:color w:val="333333"/>
          <w:spacing w:val="15"/>
          <w:sz w:val="27"/>
          <w:szCs w:val="27"/>
        </w:rPr>
        <w:t xml:space="preserve"> 液化天然气运力（简称“LNG运力”）是指符合国家及地方相关危险品运输管理法律法规要求，为液化天然气提供运输服务的运输资源统称，包括运营车辆、营运驾驶人员、押运员等。</w:t>
      </w:r>
    </w:p>
    <w:p>
      <w:pPr>
        <w:pStyle w:val="5"/>
        <w:spacing w:before="180" w:beforeAutospacing="0" w:after="180" w:afterAutospacing="0"/>
        <w:rPr>
          <w:rFonts w:hint="eastAsia" w:ascii="仿宋" w:hAnsi="仿宋" w:eastAsia="仿宋"/>
          <w:spacing w:val="15"/>
          <w:sz w:val="27"/>
          <w:szCs w:val="27"/>
        </w:rPr>
      </w:pPr>
      <w:r>
        <w:rPr>
          <w:rFonts w:ascii="&amp;quot" w:hAnsi="&amp;quot"/>
          <w:spacing w:val="15"/>
        </w:rPr>
        <w:t>　</w:t>
      </w:r>
      <w:r>
        <w:rPr>
          <w:rFonts w:hint="eastAsia" w:ascii="仿宋" w:hAnsi="仿宋" w:eastAsia="仿宋"/>
          <w:spacing w:val="15"/>
          <w:sz w:val="30"/>
          <w:szCs w:val="30"/>
        </w:rPr>
        <w:t>　</w:t>
      </w:r>
      <w:r>
        <w:rPr>
          <w:rFonts w:hint="eastAsia" w:ascii="仿宋" w:hAnsi="仿宋" w:eastAsia="仿宋"/>
          <w:b/>
          <w:bCs/>
          <w:spacing w:val="15"/>
          <w:sz w:val="30"/>
          <w:szCs w:val="30"/>
        </w:rPr>
        <w:t>第五条</w:t>
      </w:r>
      <w:r>
        <w:rPr>
          <w:rFonts w:ascii="&amp;quot" w:hAnsi="&amp;quot"/>
          <w:spacing w:val="15"/>
        </w:rPr>
        <w:t xml:space="preserve"> </w:t>
      </w:r>
      <w:r>
        <w:rPr>
          <w:rFonts w:hint="eastAsia" w:ascii="仿宋" w:hAnsi="仿宋" w:eastAsia="仿宋"/>
          <w:spacing w:val="15"/>
          <w:sz w:val="27"/>
          <w:szCs w:val="27"/>
        </w:rPr>
        <w:t>液化天然气运力挂牌交易是指在交易中心组织下，买方（托运方）或卖方（承运方）（以下简称“挂牌方”）通过交易中心电子交易系统对外发布即时的买方所需运力或卖方可提供运力，包括挂牌买入价或挂牌卖出价（以下统称“挂牌报价”）及其他交易条件（商品的交易方向、</w:t>
      </w:r>
      <w:bookmarkStart w:id="0" w:name="_Hlk49504394"/>
      <w:r>
        <w:rPr>
          <w:rFonts w:hint="eastAsia" w:ascii="仿宋" w:hAnsi="仿宋" w:eastAsia="仿宋"/>
          <w:spacing w:val="15"/>
          <w:sz w:val="27"/>
          <w:szCs w:val="27"/>
        </w:rPr>
        <w:t>交易数量、单价、交收地点、交收日期等</w:t>
      </w:r>
      <w:bookmarkEnd w:id="0"/>
      <w:r>
        <w:rPr>
          <w:rFonts w:hint="eastAsia" w:ascii="仿宋" w:hAnsi="仿宋" w:eastAsia="仿宋"/>
          <w:spacing w:val="15"/>
          <w:sz w:val="27"/>
          <w:szCs w:val="27"/>
        </w:rPr>
        <w:t>），由卖方按照挂牌买入价、买方按照挂牌卖出价摘牌成交或双方协商议价成交，通过交易系统签订电子交易合同，并按电子交易合同约定的期限履行运输及支付运费的交易方式。</w:t>
      </w:r>
    </w:p>
    <w:p>
      <w:pPr>
        <w:pStyle w:val="5"/>
        <w:spacing w:before="180" w:beforeAutospacing="0" w:after="180" w:afterAutospacing="0"/>
        <w:rPr>
          <w:rFonts w:hint="eastAsia" w:ascii="仿宋" w:hAnsi="仿宋" w:eastAsia="仿宋"/>
          <w:color w:val="333333"/>
          <w:spacing w:val="15"/>
          <w:sz w:val="27"/>
          <w:szCs w:val="27"/>
        </w:rPr>
      </w:pPr>
      <w:r>
        <w:rPr>
          <w:rFonts w:hint="eastAsia" w:ascii="仿宋" w:hAnsi="仿宋" w:eastAsia="仿宋"/>
          <w:color w:val="333333"/>
          <w:spacing w:val="15"/>
          <w:sz w:val="27"/>
          <w:szCs w:val="27"/>
        </w:rPr>
        <w:t>　　（一）交易方向是指挂牌的指向，包括买进（托运）、卖出（承运）；</w:t>
      </w:r>
    </w:p>
    <w:p>
      <w:pPr>
        <w:pStyle w:val="5"/>
        <w:spacing w:before="180" w:beforeAutospacing="0" w:after="180" w:afterAutospacing="0"/>
        <w:ind w:firstLine="540"/>
        <w:rPr>
          <w:rFonts w:hint="eastAsia" w:ascii="仿宋" w:hAnsi="仿宋" w:eastAsia="仿宋"/>
          <w:color w:val="333333"/>
          <w:spacing w:val="15"/>
          <w:sz w:val="27"/>
          <w:szCs w:val="27"/>
        </w:rPr>
      </w:pPr>
      <w:r>
        <w:rPr>
          <w:rFonts w:hint="eastAsia" w:ascii="仿宋" w:hAnsi="仿宋" w:eastAsia="仿宋"/>
          <w:color w:val="333333"/>
          <w:spacing w:val="15"/>
          <w:sz w:val="27"/>
          <w:szCs w:val="27"/>
        </w:rPr>
        <w:t>（二）交易数量是指挂牌方在挂牌信息中设定的允许摘牌方单笔成交的数量；</w:t>
      </w:r>
    </w:p>
    <w:p>
      <w:pPr>
        <w:pStyle w:val="5"/>
        <w:spacing w:before="180" w:beforeAutospacing="0" w:after="180" w:afterAutospacing="0"/>
        <w:ind w:firstLine="540"/>
        <w:rPr>
          <w:rFonts w:hint="eastAsia" w:ascii="仿宋" w:hAnsi="仿宋" w:eastAsia="仿宋"/>
          <w:color w:val="333333"/>
          <w:spacing w:val="15"/>
          <w:sz w:val="27"/>
          <w:szCs w:val="27"/>
        </w:rPr>
      </w:pPr>
      <w:r>
        <w:rPr>
          <w:rFonts w:hint="eastAsia" w:ascii="仿宋" w:hAnsi="仿宋" w:eastAsia="仿宋"/>
          <w:color w:val="333333"/>
          <w:spacing w:val="15"/>
          <w:sz w:val="27"/>
          <w:szCs w:val="27"/>
        </w:rPr>
        <w:t>（三）交易价格是买卖双方通过电子交易系统成交的价格；</w:t>
      </w:r>
    </w:p>
    <w:p>
      <w:pPr>
        <w:pStyle w:val="5"/>
        <w:spacing w:before="180" w:beforeAutospacing="0" w:after="180" w:afterAutospacing="0"/>
        <w:ind w:firstLine="540"/>
        <w:rPr>
          <w:rFonts w:hint="eastAsia" w:ascii="仿宋" w:hAnsi="仿宋" w:eastAsia="仿宋"/>
          <w:color w:val="333333"/>
          <w:spacing w:val="15"/>
          <w:sz w:val="27"/>
          <w:szCs w:val="27"/>
        </w:rPr>
      </w:pPr>
      <w:r>
        <w:rPr>
          <w:rFonts w:hint="eastAsia" w:ascii="仿宋" w:hAnsi="仿宋" w:eastAsia="仿宋"/>
          <w:color w:val="333333"/>
          <w:spacing w:val="15"/>
          <w:sz w:val="27"/>
          <w:szCs w:val="27"/>
        </w:rPr>
        <w:t>（四）交收地点是指电子交易合同规定的买卖双方进行实物交收的地点，主要指托运方指定的装货气站等，卸货气站在电子合同约定的运输距离内由托运方指定；</w:t>
      </w:r>
    </w:p>
    <w:p>
      <w:pPr>
        <w:pStyle w:val="5"/>
        <w:spacing w:before="180" w:after="180"/>
        <w:ind w:firstLine="540"/>
        <w:rPr>
          <w:rFonts w:hint="eastAsia" w:ascii="仿宋" w:hAnsi="仿宋" w:eastAsia="仿宋"/>
          <w:spacing w:val="15"/>
          <w:sz w:val="27"/>
          <w:szCs w:val="27"/>
        </w:rPr>
      </w:pPr>
      <w:r>
        <w:rPr>
          <w:rFonts w:hint="eastAsia" w:ascii="仿宋" w:hAnsi="仿宋" w:eastAsia="仿宋"/>
          <w:color w:val="333333"/>
          <w:spacing w:val="15"/>
          <w:sz w:val="27"/>
          <w:szCs w:val="27"/>
        </w:rPr>
        <w:t>（五）运输日期是指买卖双方通过电子交易系统成交时约定的运</w:t>
      </w:r>
      <w:r>
        <w:rPr>
          <w:rFonts w:hint="eastAsia" w:ascii="仿宋" w:hAnsi="仿宋" w:eastAsia="仿宋"/>
          <w:spacing w:val="15"/>
          <w:sz w:val="27"/>
          <w:szCs w:val="27"/>
        </w:rPr>
        <w:t>输日期；</w:t>
      </w:r>
    </w:p>
    <w:p>
      <w:pPr>
        <w:pStyle w:val="5"/>
        <w:spacing w:before="180" w:beforeAutospacing="0" w:after="180" w:afterAutospacing="0"/>
        <w:ind w:firstLine="600" w:firstLineChars="200"/>
        <w:rPr>
          <w:rFonts w:hint="eastAsia" w:ascii="仿宋" w:hAnsi="仿宋" w:eastAsia="仿宋"/>
          <w:color w:val="333333"/>
          <w:spacing w:val="15"/>
          <w:sz w:val="27"/>
          <w:szCs w:val="27"/>
        </w:rPr>
      </w:pPr>
      <w:r>
        <w:rPr>
          <w:rFonts w:hint="eastAsia" w:ascii="仿宋" w:hAnsi="仿宋" w:eastAsia="仿宋"/>
          <w:color w:val="333333"/>
          <w:spacing w:val="15"/>
          <w:sz w:val="27"/>
          <w:szCs w:val="27"/>
        </w:rPr>
        <w:t>（六）交易商对承运商入场作业的相关要求应提前提交交易中心，由交易中心在官方网站公布。</w:t>
      </w:r>
    </w:p>
    <w:p>
      <w:pPr>
        <w:pStyle w:val="5"/>
        <w:spacing w:before="180" w:beforeAutospacing="0" w:after="180" w:afterAutospacing="0"/>
        <w:rPr>
          <w:rFonts w:hint="eastAsia" w:ascii="仿宋" w:hAnsi="仿宋" w:eastAsia="仿宋"/>
          <w:color w:val="333333"/>
          <w:spacing w:val="15"/>
          <w:sz w:val="27"/>
          <w:szCs w:val="27"/>
        </w:rPr>
      </w:pPr>
      <w:r>
        <w:rPr>
          <w:rFonts w:ascii="&amp;quot" w:hAnsi="&amp;quot"/>
          <w:spacing w:val="15"/>
        </w:rPr>
        <w:t>　　</w:t>
      </w:r>
      <w:r>
        <w:rPr>
          <w:rFonts w:hint="eastAsia" w:ascii="仿宋" w:hAnsi="仿宋" w:eastAsia="仿宋"/>
          <w:b/>
          <w:bCs/>
          <w:spacing w:val="15"/>
          <w:sz w:val="30"/>
          <w:szCs w:val="30"/>
        </w:rPr>
        <w:t>第六条</w:t>
      </w:r>
      <w:r>
        <w:rPr>
          <w:rFonts w:ascii="&amp;quot" w:hAnsi="&amp;quot"/>
          <w:spacing w:val="15"/>
        </w:rPr>
        <w:t xml:space="preserve"> </w:t>
      </w:r>
      <w:r>
        <w:rPr>
          <w:rFonts w:hint="eastAsia" w:ascii="仿宋" w:hAnsi="仿宋" w:eastAsia="仿宋"/>
          <w:color w:val="333333"/>
          <w:spacing w:val="15"/>
          <w:sz w:val="27"/>
          <w:szCs w:val="27"/>
        </w:rPr>
        <w:t>液化天然气运力挂牌交易分为买方挂牌交易和卖方挂牌交易。</w:t>
      </w:r>
    </w:p>
    <w:p>
      <w:pPr>
        <w:pStyle w:val="5"/>
        <w:spacing w:before="180" w:beforeAutospacing="0" w:after="180" w:afterAutospacing="0"/>
        <w:rPr>
          <w:rFonts w:hint="eastAsia" w:ascii="&amp;quot" w:hAnsi="&amp;quot"/>
          <w:color w:val="333333"/>
          <w:spacing w:val="15"/>
        </w:rPr>
      </w:pPr>
    </w:p>
    <w:p>
      <w:pPr>
        <w:pStyle w:val="5"/>
        <w:spacing w:before="180" w:beforeAutospacing="0" w:after="180" w:afterAutospacing="0"/>
        <w:jc w:val="center"/>
        <w:rPr>
          <w:rStyle w:val="8"/>
          <w:rFonts w:hint="eastAsia" w:ascii="黑体" w:hAnsi="黑体" w:eastAsia="黑体"/>
          <w:sz w:val="28"/>
          <w:szCs w:val="28"/>
        </w:rPr>
      </w:pPr>
      <w:r>
        <w:rPr>
          <w:rStyle w:val="8"/>
          <w:rFonts w:hint="eastAsia" w:ascii="黑体" w:hAnsi="黑体" w:eastAsia="黑体"/>
          <w:color w:val="333333"/>
          <w:spacing w:val="15"/>
          <w:sz w:val="28"/>
          <w:szCs w:val="28"/>
        </w:rPr>
        <w:t>第三章 交易报价与结算</w:t>
      </w:r>
    </w:p>
    <w:p>
      <w:pPr>
        <w:pStyle w:val="5"/>
        <w:spacing w:before="180" w:beforeAutospacing="0" w:after="180" w:afterAutospacing="0"/>
        <w:rPr>
          <w:rFonts w:hint="eastAsia" w:ascii="&amp;quot" w:hAnsi="&amp;quot"/>
          <w:b/>
          <w:bCs/>
          <w:color w:val="333333"/>
          <w:spacing w:val="15"/>
        </w:rPr>
      </w:pPr>
      <w:r>
        <w:rPr>
          <w:rFonts w:ascii="&amp;quot" w:hAnsi="&amp;quot"/>
          <w:color w:val="333333"/>
          <w:spacing w:val="15"/>
        </w:rPr>
        <w:t> </w:t>
      </w:r>
    </w:p>
    <w:p>
      <w:pPr>
        <w:pStyle w:val="5"/>
        <w:spacing w:before="180" w:beforeAutospacing="0" w:after="180" w:afterAutospacing="0"/>
        <w:ind w:firstLine="540"/>
        <w:rPr>
          <w:rFonts w:hint="eastAsia" w:ascii="&amp;quot" w:hAnsi="&amp;quot"/>
          <w:color w:val="333333"/>
          <w:spacing w:val="15"/>
        </w:rPr>
      </w:pPr>
      <w:r>
        <w:rPr>
          <w:rFonts w:hint="eastAsia" w:ascii="仿宋" w:hAnsi="仿宋" w:eastAsia="仿宋"/>
          <w:b/>
          <w:bCs/>
          <w:color w:val="333333"/>
          <w:spacing w:val="15"/>
          <w:sz w:val="30"/>
          <w:szCs w:val="30"/>
        </w:rPr>
        <w:t>第七条</w:t>
      </w:r>
      <w:r>
        <w:rPr>
          <w:rFonts w:hint="eastAsia" w:ascii="仿宋" w:hAnsi="仿宋" w:eastAsia="仿宋"/>
          <w:color w:val="333333"/>
          <w:spacing w:val="15"/>
          <w:sz w:val="30"/>
          <w:szCs w:val="30"/>
        </w:rPr>
        <w:t xml:space="preserve"> </w:t>
      </w:r>
      <w:r>
        <w:rPr>
          <w:rFonts w:hint="eastAsia" w:ascii="仿宋" w:hAnsi="仿宋" w:eastAsia="仿宋"/>
          <w:color w:val="333333"/>
          <w:spacing w:val="15"/>
          <w:sz w:val="27"/>
          <w:szCs w:val="27"/>
        </w:rPr>
        <w:t>液化天然气运力挂牌价格为买卖双方通过电子交易系统挂出的运输含税价格。</w:t>
      </w:r>
      <w:r>
        <w:rPr>
          <w:rFonts w:ascii="&amp;quot" w:hAnsi="&amp;quot"/>
          <w:color w:val="333333"/>
          <w:spacing w:val="15"/>
        </w:rPr>
        <w:t>　　</w:t>
      </w:r>
    </w:p>
    <w:p>
      <w:pPr>
        <w:pStyle w:val="5"/>
        <w:spacing w:before="180" w:beforeAutospacing="0" w:after="180" w:afterAutospacing="0"/>
        <w:ind w:firstLine="540"/>
        <w:rPr>
          <w:rFonts w:hint="eastAsia" w:ascii="仿宋" w:hAnsi="仿宋" w:eastAsia="仿宋"/>
          <w:color w:val="333333"/>
          <w:spacing w:val="15"/>
          <w:sz w:val="27"/>
          <w:szCs w:val="27"/>
        </w:rPr>
      </w:pPr>
      <w:r>
        <w:rPr>
          <w:rFonts w:hint="eastAsia" w:ascii="仿宋" w:hAnsi="仿宋" w:eastAsia="仿宋"/>
          <w:b/>
          <w:bCs/>
          <w:color w:val="333333"/>
          <w:spacing w:val="15"/>
          <w:sz w:val="30"/>
          <w:szCs w:val="30"/>
        </w:rPr>
        <w:t>第八条</w:t>
      </w:r>
      <w:r>
        <w:rPr>
          <w:rFonts w:ascii="&amp;quot" w:hAnsi="&amp;quot"/>
          <w:color w:val="333333"/>
          <w:spacing w:val="15"/>
        </w:rPr>
        <w:t xml:space="preserve"> </w:t>
      </w:r>
      <w:r>
        <w:rPr>
          <w:rFonts w:hint="eastAsia" w:ascii="仿宋" w:hAnsi="仿宋" w:eastAsia="仿宋"/>
          <w:color w:val="333333"/>
          <w:spacing w:val="15"/>
          <w:sz w:val="27"/>
          <w:szCs w:val="27"/>
        </w:rPr>
        <w:t>液化天然气运力挂牌交易采取保证金制度，交易商应按交易中心规定缴纳保证金。</w:t>
      </w:r>
    </w:p>
    <w:p>
      <w:pPr>
        <w:pStyle w:val="5"/>
        <w:spacing w:before="180" w:beforeAutospacing="0" w:after="180" w:afterAutospacing="0"/>
        <w:rPr>
          <w:rFonts w:hint="eastAsia" w:ascii="仿宋" w:hAnsi="仿宋" w:eastAsia="仿宋"/>
          <w:color w:val="333333"/>
          <w:spacing w:val="15"/>
          <w:sz w:val="27"/>
          <w:szCs w:val="27"/>
        </w:rPr>
      </w:pPr>
      <w:r>
        <w:rPr>
          <w:rFonts w:ascii="&amp;quot" w:hAnsi="&amp;quot"/>
          <w:color w:val="333333"/>
          <w:spacing w:val="15"/>
        </w:rPr>
        <w:t>　　</w:t>
      </w:r>
      <w:r>
        <w:rPr>
          <w:rFonts w:hint="eastAsia" w:ascii="仿宋" w:hAnsi="仿宋" w:eastAsia="仿宋"/>
          <w:b/>
          <w:bCs/>
          <w:color w:val="333333"/>
          <w:spacing w:val="15"/>
          <w:sz w:val="30"/>
          <w:szCs w:val="30"/>
        </w:rPr>
        <w:t>第九条</w:t>
      </w:r>
      <w:r>
        <w:rPr>
          <w:rFonts w:ascii="&amp;quot" w:hAnsi="&amp;quot"/>
          <w:color w:val="333333"/>
          <w:spacing w:val="15"/>
        </w:rPr>
        <w:t xml:space="preserve"> </w:t>
      </w:r>
      <w:r>
        <w:rPr>
          <w:rFonts w:hint="eastAsia" w:ascii="仿宋" w:hAnsi="仿宋" w:eastAsia="仿宋"/>
          <w:color w:val="333333"/>
          <w:spacing w:val="15"/>
          <w:sz w:val="27"/>
          <w:szCs w:val="27"/>
        </w:rPr>
        <w:t>交易服务费是指交易中心在交易达成后向交易双方分别收取的服务费用，分为按照成交金额收取或按照成交数量收取两种类型。交易中心可根据交易情况调整服务费收取标准。</w:t>
      </w:r>
    </w:p>
    <w:p>
      <w:pPr>
        <w:pStyle w:val="5"/>
        <w:spacing w:before="180" w:beforeAutospacing="0" w:after="180" w:afterAutospacing="0"/>
        <w:rPr>
          <w:rFonts w:hint="eastAsia" w:ascii="&amp;quot" w:hAnsi="&amp;quot"/>
          <w:color w:val="333333"/>
          <w:spacing w:val="15"/>
        </w:rPr>
      </w:pPr>
      <w:r>
        <w:rPr>
          <w:rFonts w:ascii="&amp;quot" w:hAnsi="&amp;quot"/>
          <w:color w:val="333333"/>
          <w:spacing w:val="15"/>
        </w:rPr>
        <w:t> </w:t>
      </w:r>
    </w:p>
    <w:p>
      <w:pPr>
        <w:pStyle w:val="5"/>
        <w:spacing w:before="180" w:beforeAutospacing="0" w:after="180" w:afterAutospacing="0"/>
        <w:jc w:val="center"/>
        <w:rPr>
          <w:rStyle w:val="8"/>
          <w:rFonts w:hint="eastAsia" w:ascii="黑体" w:hAnsi="黑体" w:eastAsia="黑体"/>
          <w:sz w:val="28"/>
          <w:szCs w:val="28"/>
        </w:rPr>
      </w:pPr>
      <w:r>
        <w:rPr>
          <w:rStyle w:val="8"/>
          <w:rFonts w:hint="eastAsia" w:ascii="黑体" w:hAnsi="黑体" w:eastAsia="黑体"/>
          <w:color w:val="333333"/>
          <w:spacing w:val="15"/>
          <w:sz w:val="28"/>
          <w:szCs w:val="28"/>
        </w:rPr>
        <w:t>第四章 挂牌交易流程</w:t>
      </w:r>
    </w:p>
    <w:p>
      <w:pPr>
        <w:pStyle w:val="5"/>
        <w:spacing w:before="180" w:beforeAutospacing="0" w:after="180" w:afterAutospacing="0"/>
        <w:rPr>
          <w:rFonts w:hint="eastAsia" w:ascii="&amp;quot" w:hAnsi="&amp;quot"/>
          <w:color w:val="333333"/>
          <w:spacing w:val="15"/>
        </w:rPr>
      </w:pPr>
      <w:r>
        <w:rPr>
          <w:rFonts w:ascii="&amp;quot" w:hAnsi="&amp;quot"/>
          <w:color w:val="333333"/>
          <w:spacing w:val="15"/>
        </w:rPr>
        <w:t> </w:t>
      </w:r>
    </w:p>
    <w:p>
      <w:pPr>
        <w:pStyle w:val="5"/>
        <w:spacing w:before="180" w:beforeAutospacing="0" w:after="180" w:afterAutospacing="0"/>
        <w:rPr>
          <w:rFonts w:hint="eastAsia" w:ascii="&amp;quot" w:hAnsi="&amp;quot"/>
          <w:color w:val="333333"/>
          <w:spacing w:val="15"/>
        </w:rPr>
      </w:pPr>
      <w:r>
        <w:rPr>
          <w:rFonts w:ascii="&amp;quot" w:hAnsi="&amp;quot"/>
          <w:color w:val="333333"/>
          <w:spacing w:val="15"/>
        </w:rPr>
        <w:t>　　</w:t>
      </w:r>
      <w:r>
        <w:rPr>
          <w:rFonts w:hint="eastAsia" w:ascii="仿宋" w:hAnsi="仿宋" w:eastAsia="仿宋"/>
          <w:b/>
          <w:bCs/>
          <w:color w:val="333333"/>
          <w:spacing w:val="15"/>
          <w:sz w:val="30"/>
          <w:szCs w:val="30"/>
        </w:rPr>
        <w:t>第十条</w:t>
      </w:r>
      <w:r>
        <w:rPr>
          <w:rFonts w:hint="eastAsia" w:ascii="仿宋" w:hAnsi="仿宋" w:eastAsia="仿宋"/>
          <w:color w:val="333333"/>
          <w:spacing w:val="15"/>
          <w:sz w:val="30"/>
          <w:szCs w:val="30"/>
        </w:rPr>
        <w:t xml:space="preserve"> </w:t>
      </w:r>
      <w:r>
        <w:rPr>
          <w:rFonts w:hint="eastAsia" w:ascii="仿宋" w:hAnsi="仿宋" w:eastAsia="仿宋"/>
          <w:color w:val="333333"/>
          <w:spacing w:val="15"/>
          <w:sz w:val="27"/>
          <w:szCs w:val="27"/>
        </w:rPr>
        <w:t>挂牌方按照交易中心有关规定，在交易账户中存入足额的保证金和交易服务费后，方可进行交易。</w:t>
      </w:r>
    </w:p>
    <w:p>
      <w:pPr>
        <w:pStyle w:val="5"/>
        <w:spacing w:before="180" w:beforeAutospacing="0" w:after="180" w:afterAutospacing="0"/>
        <w:rPr>
          <w:rFonts w:hint="eastAsia" w:ascii="仿宋" w:hAnsi="仿宋" w:eastAsia="仿宋"/>
          <w:color w:val="333333"/>
          <w:spacing w:val="15"/>
          <w:sz w:val="27"/>
          <w:szCs w:val="27"/>
        </w:rPr>
      </w:pPr>
      <w:r>
        <w:rPr>
          <w:rFonts w:ascii="&amp;quot" w:hAnsi="&amp;quot"/>
          <w:color w:val="333333"/>
          <w:spacing w:val="15"/>
        </w:rPr>
        <w:t>　　</w:t>
      </w:r>
      <w:r>
        <w:rPr>
          <w:rFonts w:hint="eastAsia" w:ascii="仿宋" w:hAnsi="仿宋" w:eastAsia="仿宋"/>
          <w:b/>
          <w:bCs/>
          <w:color w:val="333333"/>
          <w:spacing w:val="15"/>
          <w:sz w:val="30"/>
          <w:szCs w:val="30"/>
        </w:rPr>
        <w:t>第十一条</w:t>
      </w:r>
      <w:r>
        <w:rPr>
          <w:rFonts w:hint="eastAsia" w:ascii="仿宋" w:hAnsi="仿宋" w:eastAsia="仿宋"/>
          <w:color w:val="333333"/>
          <w:spacing w:val="15"/>
          <w:sz w:val="27"/>
          <w:szCs w:val="27"/>
        </w:rPr>
        <w:t xml:space="preserve"> 参与挂牌交易的交易商输入交易账户和密码登录交易中心电子交易系统，登录后可查询账户资料、挂牌申报情况、资金余额等。</w:t>
      </w:r>
    </w:p>
    <w:p>
      <w:pPr>
        <w:pStyle w:val="5"/>
        <w:spacing w:before="180" w:beforeAutospacing="0" w:after="180" w:afterAutospacing="0"/>
        <w:rPr>
          <w:rFonts w:hint="eastAsia" w:ascii="仿宋" w:hAnsi="仿宋" w:eastAsia="仿宋"/>
          <w:color w:val="333333"/>
          <w:spacing w:val="15"/>
          <w:sz w:val="27"/>
          <w:szCs w:val="27"/>
        </w:rPr>
      </w:pPr>
      <w:r>
        <w:rPr>
          <w:rFonts w:ascii="&amp;quot" w:hAnsi="&amp;quot"/>
          <w:color w:val="333333"/>
          <w:spacing w:val="15"/>
        </w:rPr>
        <w:t>　　</w:t>
      </w:r>
      <w:r>
        <w:rPr>
          <w:rFonts w:hint="eastAsia" w:ascii="仿宋" w:hAnsi="仿宋" w:eastAsia="仿宋"/>
          <w:b/>
          <w:bCs/>
          <w:color w:val="333333"/>
          <w:spacing w:val="15"/>
          <w:sz w:val="30"/>
          <w:szCs w:val="30"/>
        </w:rPr>
        <w:t>第十二条</w:t>
      </w:r>
      <w:r>
        <w:rPr>
          <w:rFonts w:ascii="&amp;quot" w:hAnsi="&amp;quot"/>
          <w:color w:val="333333"/>
          <w:spacing w:val="15"/>
        </w:rPr>
        <w:t xml:space="preserve"> </w:t>
      </w:r>
      <w:r>
        <w:rPr>
          <w:rFonts w:hint="eastAsia" w:ascii="仿宋" w:hAnsi="仿宋" w:eastAsia="仿宋"/>
          <w:color w:val="333333"/>
          <w:spacing w:val="15"/>
          <w:sz w:val="27"/>
          <w:szCs w:val="27"/>
        </w:rPr>
        <w:t>挂牌方应按照现货挂牌交易系统的要求，如实申报挂牌商品的交易条件，包括运力的交易方向、交易数量、交易价格、交收地点、运输日期等内容。严禁申报虚假或带有误导性质的商品信息。</w:t>
      </w:r>
    </w:p>
    <w:p>
      <w:pPr>
        <w:pStyle w:val="5"/>
        <w:spacing w:before="180" w:beforeAutospacing="0" w:after="180" w:afterAutospacing="0"/>
        <w:rPr>
          <w:rFonts w:hint="eastAsia" w:ascii="仿宋" w:hAnsi="仿宋" w:eastAsia="仿宋"/>
          <w:color w:val="333333"/>
          <w:spacing w:val="15"/>
          <w:sz w:val="27"/>
          <w:szCs w:val="27"/>
        </w:rPr>
      </w:pPr>
      <w:r>
        <w:rPr>
          <w:rFonts w:ascii="&amp;quot" w:hAnsi="&amp;quot"/>
          <w:color w:val="333333"/>
          <w:spacing w:val="15"/>
        </w:rPr>
        <w:t>　　</w:t>
      </w:r>
      <w:r>
        <w:rPr>
          <w:rFonts w:hint="eastAsia" w:ascii="仿宋" w:hAnsi="仿宋" w:eastAsia="仿宋"/>
          <w:b/>
          <w:bCs/>
          <w:color w:val="333333"/>
          <w:spacing w:val="15"/>
          <w:sz w:val="30"/>
          <w:szCs w:val="30"/>
        </w:rPr>
        <w:t>第十三条</w:t>
      </w:r>
      <w:r>
        <w:rPr>
          <w:rFonts w:ascii="&amp;quot" w:hAnsi="&amp;quot"/>
          <w:color w:val="333333"/>
          <w:spacing w:val="15"/>
        </w:rPr>
        <w:t xml:space="preserve"> </w:t>
      </w:r>
      <w:r>
        <w:rPr>
          <w:rFonts w:hint="eastAsia" w:ascii="仿宋" w:hAnsi="仿宋" w:eastAsia="仿宋"/>
          <w:color w:val="333333"/>
          <w:spacing w:val="15"/>
          <w:sz w:val="27"/>
          <w:szCs w:val="27"/>
        </w:rPr>
        <w:t>挂牌方成功进行挂牌申报后，电子交易系统自动冻结挂牌方的保证金和交易服务费。</w:t>
      </w:r>
    </w:p>
    <w:p>
      <w:pPr>
        <w:pStyle w:val="5"/>
        <w:spacing w:before="180" w:beforeAutospacing="0" w:after="180" w:afterAutospacing="0"/>
        <w:rPr>
          <w:rFonts w:hint="eastAsia" w:ascii="仿宋" w:hAnsi="仿宋" w:eastAsia="仿宋"/>
          <w:color w:val="333333"/>
          <w:spacing w:val="15"/>
          <w:sz w:val="27"/>
          <w:szCs w:val="27"/>
        </w:rPr>
      </w:pPr>
      <w:r>
        <w:rPr>
          <w:rFonts w:ascii="&amp;quot" w:hAnsi="&amp;quot"/>
          <w:color w:val="333333"/>
          <w:spacing w:val="15"/>
        </w:rPr>
        <w:t>　</w:t>
      </w:r>
      <w:r>
        <w:rPr>
          <w:rFonts w:hint="eastAsia" w:ascii="仿宋" w:hAnsi="仿宋" w:eastAsia="仿宋"/>
          <w:color w:val="333333"/>
          <w:spacing w:val="15"/>
          <w:sz w:val="30"/>
          <w:szCs w:val="30"/>
        </w:rPr>
        <w:t>　</w:t>
      </w:r>
      <w:r>
        <w:rPr>
          <w:rFonts w:hint="eastAsia" w:ascii="仿宋" w:hAnsi="仿宋" w:eastAsia="仿宋"/>
          <w:b/>
          <w:bCs/>
          <w:color w:val="333333"/>
          <w:spacing w:val="15"/>
          <w:sz w:val="30"/>
          <w:szCs w:val="30"/>
        </w:rPr>
        <w:t>第十四条</w:t>
      </w:r>
      <w:r>
        <w:rPr>
          <w:rFonts w:ascii="&amp;quot" w:hAnsi="&amp;quot"/>
          <w:color w:val="333333"/>
          <w:spacing w:val="15"/>
        </w:rPr>
        <w:t xml:space="preserve"> </w:t>
      </w:r>
      <w:r>
        <w:rPr>
          <w:rFonts w:hint="eastAsia" w:ascii="仿宋" w:hAnsi="仿宋" w:eastAsia="仿宋"/>
          <w:color w:val="333333"/>
          <w:spacing w:val="15"/>
          <w:sz w:val="27"/>
          <w:szCs w:val="27"/>
        </w:rPr>
        <w:t>摘牌方应在挂牌交易开始前认真查阅挂牌商品的交易条件，并在交易账户中存入足额的保证金和交易服务费后，方可进行交易。</w:t>
      </w:r>
    </w:p>
    <w:p>
      <w:pPr>
        <w:pStyle w:val="5"/>
        <w:spacing w:before="180" w:beforeAutospacing="0" w:after="180" w:afterAutospacing="0"/>
        <w:rPr>
          <w:rFonts w:hint="eastAsia" w:ascii="仿宋" w:hAnsi="仿宋" w:eastAsia="仿宋"/>
          <w:color w:val="333333"/>
          <w:spacing w:val="15"/>
          <w:sz w:val="27"/>
          <w:szCs w:val="27"/>
        </w:rPr>
      </w:pPr>
      <w:r>
        <w:rPr>
          <w:rFonts w:ascii="&amp;quot" w:hAnsi="&amp;quot"/>
          <w:color w:val="333333"/>
          <w:spacing w:val="15"/>
        </w:rPr>
        <w:t>　　</w:t>
      </w:r>
      <w:r>
        <w:rPr>
          <w:rFonts w:hint="eastAsia" w:ascii="仿宋" w:hAnsi="仿宋" w:eastAsia="仿宋"/>
          <w:b/>
          <w:bCs/>
          <w:color w:val="333333"/>
          <w:spacing w:val="15"/>
          <w:sz w:val="30"/>
          <w:szCs w:val="30"/>
        </w:rPr>
        <w:t>第十五条</w:t>
      </w:r>
      <w:r>
        <w:rPr>
          <w:rFonts w:hint="eastAsia" w:ascii="仿宋" w:hAnsi="仿宋" w:eastAsia="仿宋"/>
          <w:color w:val="333333"/>
          <w:spacing w:val="15"/>
          <w:sz w:val="27"/>
          <w:szCs w:val="27"/>
        </w:rPr>
        <w:t xml:space="preserve"> 电子交易系统根据交易商的资金或担保、信用额度，控制并确定其最大交易数量。</w:t>
      </w:r>
    </w:p>
    <w:p>
      <w:pPr>
        <w:pStyle w:val="5"/>
        <w:spacing w:before="180" w:beforeAutospacing="0" w:after="180" w:afterAutospacing="0"/>
        <w:rPr>
          <w:rFonts w:hint="eastAsia" w:ascii="仿宋" w:hAnsi="仿宋" w:eastAsia="仿宋"/>
          <w:color w:val="333333"/>
          <w:spacing w:val="15"/>
          <w:sz w:val="27"/>
          <w:szCs w:val="27"/>
        </w:rPr>
      </w:pPr>
      <w:r>
        <w:rPr>
          <w:rFonts w:ascii="&amp;quot" w:hAnsi="&amp;quot"/>
          <w:color w:val="333333"/>
          <w:spacing w:val="15"/>
        </w:rPr>
        <w:t>　</w:t>
      </w:r>
      <w:r>
        <w:rPr>
          <w:rFonts w:hint="eastAsia" w:ascii="仿宋" w:hAnsi="仿宋" w:eastAsia="仿宋"/>
          <w:color w:val="333333"/>
          <w:spacing w:val="15"/>
          <w:sz w:val="30"/>
          <w:szCs w:val="30"/>
        </w:rPr>
        <w:t>　</w:t>
      </w:r>
      <w:r>
        <w:rPr>
          <w:rFonts w:hint="eastAsia" w:ascii="仿宋" w:hAnsi="仿宋" w:eastAsia="仿宋"/>
          <w:b/>
          <w:bCs/>
          <w:color w:val="333333"/>
          <w:spacing w:val="15"/>
          <w:sz w:val="30"/>
          <w:szCs w:val="30"/>
        </w:rPr>
        <w:t>第十六条</w:t>
      </w:r>
      <w:r>
        <w:rPr>
          <w:rFonts w:ascii="&amp;quot" w:hAnsi="&amp;quot"/>
          <w:color w:val="333333"/>
          <w:spacing w:val="15"/>
        </w:rPr>
        <w:t xml:space="preserve"> </w:t>
      </w:r>
      <w:r>
        <w:rPr>
          <w:rFonts w:hint="eastAsia" w:ascii="仿宋" w:hAnsi="仿宋" w:eastAsia="仿宋"/>
          <w:color w:val="333333"/>
          <w:spacing w:val="15"/>
          <w:sz w:val="27"/>
          <w:szCs w:val="27"/>
        </w:rPr>
        <w:t>挂牌方在交易系统中可以选择直接成交或协商议价成交。选择直接成交的，价格不可议，摘牌方按挂牌价作为成交价格。选择协商成交的，可通过交易系统在线议价，摘牌方可以提出新要约，双方对价格进行协商，成功后协商价格作为成交价格。</w:t>
      </w:r>
    </w:p>
    <w:p>
      <w:pPr>
        <w:pStyle w:val="5"/>
        <w:spacing w:before="180" w:beforeAutospacing="0" w:after="180" w:afterAutospacing="0"/>
        <w:rPr>
          <w:rFonts w:hint="eastAsia" w:ascii="仿宋" w:hAnsi="仿宋" w:eastAsia="仿宋"/>
          <w:color w:val="333333"/>
          <w:spacing w:val="15"/>
          <w:sz w:val="27"/>
          <w:szCs w:val="27"/>
        </w:rPr>
      </w:pPr>
      <w:r>
        <w:rPr>
          <w:rFonts w:ascii="&amp;quot" w:hAnsi="&amp;quot"/>
          <w:color w:val="333333"/>
          <w:spacing w:val="15"/>
        </w:rPr>
        <w:t>　</w:t>
      </w:r>
      <w:r>
        <w:rPr>
          <w:rFonts w:hint="eastAsia" w:ascii="&amp;quot" w:hAnsi="&amp;quot"/>
          <w:b/>
          <w:bCs/>
          <w:color w:val="333333"/>
          <w:spacing w:val="15"/>
        </w:rPr>
        <w:t>　</w:t>
      </w:r>
      <w:r>
        <w:rPr>
          <w:rFonts w:hint="eastAsia" w:ascii="仿宋" w:hAnsi="仿宋" w:eastAsia="仿宋"/>
          <w:b/>
          <w:bCs/>
          <w:color w:val="333333"/>
          <w:spacing w:val="15"/>
          <w:sz w:val="30"/>
          <w:szCs w:val="30"/>
        </w:rPr>
        <w:t>第十七条</w:t>
      </w:r>
      <w:r>
        <w:rPr>
          <w:rFonts w:ascii="&amp;quot" w:hAnsi="&amp;quot"/>
          <w:color w:val="333333"/>
          <w:spacing w:val="15"/>
        </w:rPr>
        <w:t xml:space="preserve"> </w:t>
      </w:r>
      <w:r>
        <w:rPr>
          <w:rFonts w:hint="eastAsia" w:ascii="仿宋" w:hAnsi="仿宋" w:eastAsia="仿宋"/>
          <w:color w:val="333333"/>
          <w:spacing w:val="15"/>
          <w:sz w:val="27"/>
          <w:szCs w:val="27"/>
        </w:rPr>
        <w:t>摘牌成功时，电子交易系统自动冻结摘牌方保证金，收取买卖双方交易服务费，并自动生成电子交易合同。交易中心根据交收方式的不同进行保证金的释放或流转，交易流程结束。</w:t>
      </w:r>
    </w:p>
    <w:p>
      <w:pPr>
        <w:pStyle w:val="5"/>
        <w:spacing w:before="180" w:beforeAutospacing="0" w:after="180" w:afterAutospacing="0"/>
        <w:rPr>
          <w:rFonts w:hint="eastAsia" w:ascii="仿宋" w:hAnsi="仿宋" w:eastAsia="仿宋"/>
          <w:color w:val="333333"/>
          <w:spacing w:val="15"/>
          <w:sz w:val="27"/>
          <w:szCs w:val="27"/>
        </w:rPr>
      </w:pPr>
      <w:r>
        <w:rPr>
          <w:rFonts w:ascii="&amp;quot" w:hAnsi="&amp;quot"/>
          <w:color w:val="333333"/>
          <w:spacing w:val="15"/>
        </w:rPr>
        <w:t>　　</w:t>
      </w:r>
      <w:r>
        <w:rPr>
          <w:rFonts w:hint="eastAsia" w:ascii="仿宋" w:hAnsi="仿宋" w:eastAsia="仿宋"/>
          <w:b/>
          <w:bCs/>
          <w:color w:val="333333"/>
          <w:spacing w:val="15"/>
          <w:sz w:val="30"/>
          <w:szCs w:val="30"/>
        </w:rPr>
        <w:t>第十八条</w:t>
      </w:r>
      <w:r>
        <w:rPr>
          <w:rFonts w:ascii="&amp;quot" w:hAnsi="&amp;quot"/>
          <w:color w:val="333333"/>
          <w:spacing w:val="15"/>
        </w:rPr>
        <w:t xml:space="preserve"> </w:t>
      </w:r>
      <w:r>
        <w:rPr>
          <w:rFonts w:hint="eastAsia" w:ascii="仿宋" w:hAnsi="仿宋" w:eastAsia="仿宋"/>
          <w:color w:val="333333"/>
          <w:spacing w:val="15"/>
          <w:sz w:val="27"/>
          <w:szCs w:val="27"/>
        </w:rPr>
        <w:t>在挂牌商品被摘牌前，挂牌方可以撤销其挂牌申报。挂牌方成功撤销挂牌申报或挂牌申报失效后，电子交易系统自动释放挂牌方保证金。</w:t>
      </w:r>
    </w:p>
    <w:p>
      <w:pPr>
        <w:pStyle w:val="5"/>
        <w:spacing w:before="180" w:beforeAutospacing="0" w:after="180" w:afterAutospacing="0"/>
        <w:rPr>
          <w:rFonts w:hint="eastAsia" w:ascii="&amp;quot" w:hAnsi="&amp;quot"/>
          <w:color w:val="333333"/>
          <w:spacing w:val="15"/>
        </w:rPr>
      </w:pPr>
      <w:r>
        <w:rPr>
          <w:rFonts w:ascii="&amp;quot" w:hAnsi="&amp;quot"/>
          <w:color w:val="333333"/>
          <w:spacing w:val="15"/>
        </w:rPr>
        <w:t>　　</w:t>
      </w:r>
      <w:r>
        <w:rPr>
          <w:rFonts w:hint="eastAsia" w:ascii="仿宋" w:hAnsi="仿宋" w:eastAsia="仿宋"/>
          <w:b/>
          <w:bCs/>
          <w:color w:val="333333"/>
          <w:spacing w:val="15"/>
          <w:sz w:val="30"/>
          <w:szCs w:val="30"/>
        </w:rPr>
        <w:t>第十九条</w:t>
      </w:r>
      <w:r>
        <w:rPr>
          <w:rFonts w:ascii="&amp;quot" w:hAnsi="&amp;quot"/>
          <w:color w:val="333333"/>
          <w:spacing w:val="15"/>
        </w:rPr>
        <w:t xml:space="preserve"> </w:t>
      </w:r>
      <w:r>
        <w:rPr>
          <w:rFonts w:hint="eastAsia" w:ascii="仿宋" w:hAnsi="仿宋" w:eastAsia="仿宋"/>
          <w:color w:val="333333"/>
          <w:spacing w:val="15"/>
          <w:sz w:val="27"/>
          <w:szCs w:val="27"/>
        </w:rPr>
        <w:t>交易商可通过电子交易系统查询交易商品的成交价、成交数量等信息。</w:t>
      </w:r>
    </w:p>
    <w:p>
      <w:pPr>
        <w:pStyle w:val="5"/>
        <w:spacing w:before="180" w:beforeAutospacing="0" w:after="180" w:afterAutospacing="0"/>
        <w:rPr>
          <w:rFonts w:hint="eastAsia" w:ascii="仿宋" w:hAnsi="仿宋" w:eastAsia="仿宋"/>
          <w:color w:val="333333"/>
          <w:spacing w:val="15"/>
          <w:sz w:val="27"/>
          <w:szCs w:val="27"/>
        </w:rPr>
      </w:pPr>
      <w:r>
        <w:rPr>
          <w:rFonts w:ascii="&amp;quot" w:hAnsi="&amp;quot"/>
          <w:color w:val="333333"/>
          <w:spacing w:val="15"/>
        </w:rPr>
        <w:t>　　</w:t>
      </w:r>
      <w:r>
        <w:rPr>
          <w:rFonts w:hint="eastAsia" w:ascii="仿宋" w:hAnsi="仿宋" w:eastAsia="仿宋"/>
          <w:b/>
          <w:bCs/>
          <w:color w:val="333333"/>
          <w:spacing w:val="15"/>
          <w:sz w:val="30"/>
          <w:szCs w:val="30"/>
        </w:rPr>
        <w:t>第二十条</w:t>
      </w:r>
      <w:r>
        <w:rPr>
          <w:rFonts w:ascii="&amp;quot" w:hAnsi="&amp;quot"/>
          <w:color w:val="333333"/>
          <w:spacing w:val="15"/>
        </w:rPr>
        <w:t xml:space="preserve"> </w:t>
      </w:r>
      <w:r>
        <w:rPr>
          <w:rFonts w:hint="eastAsia" w:ascii="仿宋" w:hAnsi="仿宋" w:eastAsia="仿宋"/>
          <w:color w:val="333333"/>
          <w:spacing w:val="15"/>
          <w:sz w:val="27"/>
          <w:szCs w:val="27"/>
        </w:rPr>
        <w:t>液化天然气现货挂牌交易挂牌申报的有效期截至挂牌当日交易时间结束时止，交易时间结束时当日所有挂牌申报自动失效。</w:t>
      </w:r>
    </w:p>
    <w:p>
      <w:pPr>
        <w:pStyle w:val="5"/>
        <w:spacing w:before="180" w:beforeAutospacing="0" w:after="180" w:afterAutospacing="0"/>
        <w:rPr>
          <w:rFonts w:hint="eastAsia" w:ascii="仿宋" w:hAnsi="仿宋" w:eastAsia="仿宋"/>
          <w:color w:val="333333"/>
          <w:spacing w:val="15"/>
          <w:sz w:val="27"/>
          <w:szCs w:val="27"/>
        </w:rPr>
      </w:pPr>
      <w:r>
        <w:rPr>
          <w:rFonts w:ascii="&amp;quot" w:hAnsi="&amp;quot"/>
          <w:color w:val="333333"/>
          <w:spacing w:val="15"/>
        </w:rPr>
        <w:t>　　</w:t>
      </w:r>
      <w:r>
        <w:rPr>
          <w:rFonts w:hint="eastAsia" w:ascii="仿宋" w:hAnsi="仿宋" w:eastAsia="仿宋"/>
          <w:b/>
          <w:bCs/>
          <w:color w:val="333333"/>
          <w:spacing w:val="15"/>
          <w:sz w:val="30"/>
          <w:szCs w:val="30"/>
        </w:rPr>
        <w:t>第二十一条</w:t>
      </w:r>
      <w:r>
        <w:rPr>
          <w:rFonts w:ascii="&amp;quot" w:hAnsi="&amp;quot"/>
          <w:color w:val="333333"/>
          <w:spacing w:val="15"/>
        </w:rPr>
        <w:t xml:space="preserve"> </w:t>
      </w:r>
      <w:r>
        <w:rPr>
          <w:rFonts w:hint="eastAsia" w:ascii="仿宋" w:hAnsi="仿宋" w:eastAsia="仿宋"/>
          <w:color w:val="333333"/>
          <w:spacing w:val="15"/>
          <w:sz w:val="27"/>
          <w:szCs w:val="27"/>
        </w:rPr>
        <w:t>交易开始、结束时间以交易中心电子交易系统的时间为准。交易中心在必要时有权调整交易时间或暂停交易，并在调整前对外公布。</w:t>
      </w:r>
    </w:p>
    <w:p>
      <w:pPr>
        <w:pStyle w:val="5"/>
        <w:spacing w:before="180" w:beforeAutospacing="0" w:after="180" w:afterAutospacing="0"/>
        <w:rPr>
          <w:rFonts w:hint="eastAsia" w:ascii="&amp;quot" w:hAnsi="&amp;quot"/>
          <w:color w:val="333333"/>
          <w:spacing w:val="15"/>
        </w:rPr>
      </w:pPr>
      <w:r>
        <w:rPr>
          <w:rFonts w:ascii="&amp;quot" w:hAnsi="&amp;quot"/>
          <w:color w:val="333333"/>
          <w:spacing w:val="15"/>
        </w:rPr>
        <w:t> </w:t>
      </w:r>
    </w:p>
    <w:p>
      <w:pPr>
        <w:pStyle w:val="5"/>
        <w:spacing w:before="180" w:beforeAutospacing="0" w:after="180" w:afterAutospacing="0"/>
        <w:jc w:val="center"/>
        <w:rPr>
          <w:rStyle w:val="8"/>
          <w:rFonts w:hint="eastAsia" w:ascii="黑体" w:hAnsi="黑体" w:eastAsia="黑体"/>
          <w:sz w:val="28"/>
          <w:szCs w:val="28"/>
        </w:rPr>
      </w:pPr>
      <w:r>
        <w:rPr>
          <w:rStyle w:val="8"/>
          <w:rFonts w:hint="eastAsia" w:ascii="黑体" w:hAnsi="黑体" w:eastAsia="黑体"/>
          <w:color w:val="333333"/>
          <w:spacing w:val="15"/>
          <w:sz w:val="28"/>
          <w:szCs w:val="28"/>
        </w:rPr>
        <w:t>第五章 违约处理和争议解决</w:t>
      </w:r>
    </w:p>
    <w:p>
      <w:pPr>
        <w:pStyle w:val="5"/>
        <w:spacing w:before="180" w:beforeAutospacing="0" w:after="180" w:afterAutospacing="0"/>
        <w:rPr>
          <w:rFonts w:hint="eastAsia" w:ascii="&amp;quot" w:hAnsi="&amp;quot"/>
          <w:color w:val="333333"/>
          <w:spacing w:val="15"/>
        </w:rPr>
      </w:pPr>
      <w:r>
        <w:rPr>
          <w:rFonts w:ascii="&amp;quot" w:hAnsi="&amp;quot"/>
          <w:color w:val="333333"/>
          <w:spacing w:val="15"/>
        </w:rPr>
        <w:t> </w:t>
      </w:r>
    </w:p>
    <w:p>
      <w:pPr>
        <w:pStyle w:val="5"/>
        <w:spacing w:before="180" w:beforeAutospacing="0" w:after="180" w:afterAutospacing="0"/>
        <w:rPr>
          <w:rFonts w:hint="eastAsia" w:ascii="仿宋" w:hAnsi="仿宋" w:eastAsia="仿宋"/>
          <w:color w:val="333333"/>
          <w:spacing w:val="15"/>
          <w:sz w:val="27"/>
          <w:szCs w:val="27"/>
        </w:rPr>
      </w:pPr>
      <w:r>
        <w:rPr>
          <w:rFonts w:ascii="&amp;quot" w:hAnsi="&amp;quot"/>
          <w:color w:val="333333"/>
          <w:spacing w:val="15"/>
        </w:rPr>
        <w:t>　</w:t>
      </w:r>
      <w:r>
        <w:rPr>
          <w:rFonts w:hint="eastAsia" w:ascii="仿宋" w:hAnsi="仿宋" w:eastAsia="仿宋"/>
          <w:color w:val="333333"/>
          <w:spacing w:val="15"/>
          <w:sz w:val="30"/>
          <w:szCs w:val="30"/>
        </w:rPr>
        <w:t>　</w:t>
      </w:r>
      <w:r>
        <w:rPr>
          <w:rFonts w:hint="eastAsia" w:ascii="仿宋" w:hAnsi="仿宋" w:eastAsia="仿宋"/>
          <w:b/>
          <w:bCs/>
          <w:color w:val="333333"/>
          <w:spacing w:val="15"/>
          <w:sz w:val="30"/>
          <w:szCs w:val="30"/>
        </w:rPr>
        <w:t>第二十二条</w:t>
      </w:r>
      <w:r>
        <w:rPr>
          <w:rFonts w:ascii="&amp;quot" w:hAnsi="&amp;quot"/>
          <w:color w:val="333333"/>
          <w:spacing w:val="15"/>
        </w:rPr>
        <w:t xml:space="preserve"> </w:t>
      </w:r>
      <w:r>
        <w:rPr>
          <w:rFonts w:hint="eastAsia" w:ascii="仿宋" w:hAnsi="仿宋" w:eastAsia="仿宋"/>
          <w:color w:val="333333"/>
          <w:spacing w:val="15"/>
          <w:sz w:val="27"/>
          <w:szCs w:val="27"/>
        </w:rPr>
        <w:t>交易商拒绝履行电子交易合同的，交易中心有权依据电子交易合同的约定将违约方的保证金作为违约金支付给守约方；交易商发生其他违约行为的，违约方按照电子交易合同的约定承担违约责任。</w:t>
      </w:r>
    </w:p>
    <w:p>
      <w:pPr>
        <w:pStyle w:val="5"/>
        <w:spacing w:before="180" w:after="180"/>
        <w:rPr>
          <w:rFonts w:hint="eastAsia" w:ascii="仿宋" w:hAnsi="仿宋" w:eastAsia="仿宋"/>
          <w:b/>
          <w:color w:val="333333"/>
          <w:spacing w:val="15"/>
          <w:sz w:val="27"/>
          <w:szCs w:val="27"/>
        </w:rPr>
      </w:pPr>
      <w:r>
        <w:rPr>
          <w:rFonts w:ascii="&amp;quot" w:hAnsi="&amp;quot"/>
          <w:color w:val="333333"/>
          <w:spacing w:val="15"/>
        </w:rPr>
        <w:t>　</w:t>
      </w:r>
      <w:r>
        <w:rPr>
          <w:rFonts w:hint="eastAsia" w:ascii="&amp;quot" w:hAnsi="&amp;quot"/>
          <w:b/>
          <w:bCs/>
          <w:color w:val="333333"/>
          <w:spacing w:val="15"/>
        </w:rPr>
        <w:t>　</w:t>
      </w:r>
      <w:r>
        <w:rPr>
          <w:rFonts w:hint="eastAsia" w:ascii="仿宋" w:hAnsi="仿宋" w:eastAsia="仿宋"/>
          <w:b/>
          <w:bCs/>
          <w:color w:val="333333"/>
          <w:spacing w:val="15"/>
          <w:sz w:val="30"/>
          <w:szCs w:val="30"/>
        </w:rPr>
        <w:t>第二十三条</w:t>
      </w:r>
      <w:r>
        <w:rPr>
          <w:rFonts w:ascii="&amp;quot" w:hAnsi="&amp;quot"/>
          <w:color w:val="333333"/>
          <w:spacing w:val="15"/>
        </w:rPr>
        <w:t xml:space="preserve"> </w:t>
      </w:r>
      <w:r>
        <w:rPr>
          <w:rFonts w:hint="eastAsia" w:ascii="仿宋" w:hAnsi="仿宋" w:eastAsia="仿宋"/>
          <w:color w:val="333333"/>
          <w:spacing w:val="15"/>
          <w:sz w:val="27"/>
          <w:szCs w:val="27"/>
        </w:rPr>
        <w:t>在发生违约情形时，买卖双方应友好协商解决；如未能通过友好协商或由交易中心调解解决的，任何一方均可向人民法院提起诉讼，由有管辖权的人民法院解决。</w:t>
      </w:r>
    </w:p>
    <w:p>
      <w:pPr>
        <w:pStyle w:val="5"/>
        <w:spacing w:before="180" w:beforeAutospacing="0" w:after="180" w:afterAutospacing="0"/>
        <w:rPr>
          <w:rFonts w:hint="eastAsia" w:ascii="&amp;quot" w:hAnsi="&amp;quot"/>
          <w:color w:val="333333"/>
          <w:spacing w:val="15"/>
        </w:rPr>
      </w:pPr>
    </w:p>
    <w:p>
      <w:pPr>
        <w:pStyle w:val="5"/>
        <w:spacing w:before="180" w:beforeAutospacing="0" w:after="180" w:afterAutospacing="0"/>
        <w:jc w:val="center"/>
        <w:rPr>
          <w:rStyle w:val="8"/>
          <w:rFonts w:hint="eastAsia" w:ascii="黑体" w:hAnsi="黑体" w:eastAsia="黑体"/>
          <w:sz w:val="28"/>
          <w:szCs w:val="28"/>
        </w:rPr>
      </w:pPr>
      <w:r>
        <w:rPr>
          <w:rStyle w:val="8"/>
          <w:rFonts w:hint="eastAsia" w:ascii="黑体" w:hAnsi="黑体" w:eastAsia="黑体"/>
          <w:color w:val="333333"/>
          <w:spacing w:val="15"/>
          <w:sz w:val="28"/>
          <w:szCs w:val="28"/>
        </w:rPr>
        <w:t>第六章 附则</w:t>
      </w:r>
    </w:p>
    <w:p>
      <w:pPr>
        <w:pStyle w:val="5"/>
        <w:spacing w:before="180" w:beforeAutospacing="0" w:after="180" w:afterAutospacing="0"/>
        <w:rPr>
          <w:rFonts w:hint="eastAsia" w:ascii="&amp;quot" w:hAnsi="&amp;quot"/>
          <w:color w:val="333333"/>
          <w:spacing w:val="15"/>
        </w:rPr>
      </w:pPr>
      <w:r>
        <w:rPr>
          <w:rFonts w:ascii="&amp;quot" w:hAnsi="&amp;quot"/>
          <w:color w:val="333333"/>
          <w:spacing w:val="15"/>
        </w:rPr>
        <w:t> </w:t>
      </w:r>
    </w:p>
    <w:p>
      <w:pPr>
        <w:pStyle w:val="5"/>
        <w:spacing w:before="180" w:beforeAutospacing="0" w:after="180" w:afterAutospacing="0"/>
        <w:rPr>
          <w:rFonts w:hint="eastAsia" w:ascii="仿宋" w:hAnsi="仿宋" w:eastAsia="仿宋"/>
          <w:color w:val="333333"/>
          <w:spacing w:val="15"/>
          <w:sz w:val="27"/>
          <w:szCs w:val="27"/>
        </w:rPr>
      </w:pPr>
      <w:r>
        <w:rPr>
          <w:rFonts w:ascii="&amp;quot" w:hAnsi="&amp;quot"/>
          <w:color w:val="333333"/>
          <w:spacing w:val="15"/>
        </w:rPr>
        <w:t>　　</w:t>
      </w:r>
      <w:r>
        <w:rPr>
          <w:rFonts w:hint="eastAsia" w:ascii="仿宋" w:hAnsi="仿宋" w:eastAsia="仿宋"/>
          <w:b/>
          <w:bCs/>
          <w:color w:val="333333"/>
          <w:spacing w:val="15"/>
          <w:sz w:val="30"/>
          <w:szCs w:val="30"/>
        </w:rPr>
        <w:t>第二十四条</w:t>
      </w:r>
      <w:r>
        <w:rPr>
          <w:rFonts w:ascii="&amp;quot" w:hAnsi="&amp;quot"/>
          <w:color w:val="333333"/>
          <w:spacing w:val="15"/>
        </w:rPr>
        <w:t xml:space="preserve"> </w:t>
      </w:r>
      <w:r>
        <w:rPr>
          <w:rFonts w:hint="eastAsia" w:ascii="仿宋" w:hAnsi="仿宋" w:eastAsia="仿宋"/>
          <w:color w:val="333333"/>
          <w:spacing w:val="15"/>
          <w:sz w:val="27"/>
          <w:szCs w:val="27"/>
        </w:rPr>
        <w:t>本细则解释权属于上海石油天然气交易中心有限公司。</w:t>
      </w:r>
    </w:p>
    <w:p>
      <w:pPr>
        <w:pStyle w:val="5"/>
        <w:spacing w:before="180" w:beforeAutospacing="0" w:after="180" w:afterAutospacing="0"/>
        <w:rPr>
          <w:rFonts w:hint="eastAsia" w:ascii="&amp;quot" w:hAnsi="&amp;quot"/>
          <w:color w:val="333333"/>
          <w:spacing w:val="15"/>
        </w:rPr>
      </w:pPr>
      <w:r>
        <w:rPr>
          <w:rFonts w:ascii="&amp;quot" w:hAnsi="&amp;quot"/>
          <w:color w:val="333333"/>
          <w:spacing w:val="15"/>
        </w:rPr>
        <w:t>　　</w:t>
      </w:r>
      <w:r>
        <w:rPr>
          <w:rFonts w:hint="eastAsia" w:ascii="仿宋" w:hAnsi="仿宋" w:eastAsia="仿宋"/>
          <w:b/>
          <w:bCs/>
          <w:color w:val="333333"/>
          <w:spacing w:val="15"/>
          <w:sz w:val="30"/>
          <w:szCs w:val="30"/>
        </w:rPr>
        <w:t xml:space="preserve">第二十五条 </w:t>
      </w:r>
      <w:r>
        <w:rPr>
          <w:rFonts w:hint="eastAsia" w:ascii="仿宋" w:hAnsi="仿宋" w:eastAsia="仿宋"/>
          <w:color w:val="333333"/>
          <w:spacing w:val="15"/>
          <w:sz w:val="27"/>
          <w:szCs w:val="27"/>
        </w:rPr>
        <w:t>本细则自2020年9月</w:t>
      </w:r>
      <w:r>
        <w:rPr>
          <w:rFonts w:ascii="仿宋" w:hAnsi="仿宋" w:eastAsia="仿宋"/>
          <w:color w:val="333333"/>
          <w:spacing w:val="15"/>
          <w:sz w:val="27"/>
          <w:szCs w:val="27"/>
        </w:rPr>
        <w:t>15</w:t>
      </w:r>
      <w:r>
        <w:rPr>
          <w:rFonts w:hint="eastAsia" w:ascii="仿宋" w:hAnsi="仿宋" w:eastAsia="仿宋"/>
          <w:color w:val="333333"/>
          <w:spacing w:val="15"/>
          <w:sz w:val="27"/>
          <w:szCs w:val="27"/>
        </w:rPr>
        <w:t>日起实施。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mp;quot">
    <w:altName w:val="Cambria"/>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3074831"/>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266"/>
    <w:rsid w:val="00167C20"/>
    <w:rsid w:val="001B54F8"/>
    <w:rsid w:val="001B6D82"/>
    <w:rsid w:val="002459F2"/>
    <w:rsid w:val="00280235"/>
    <w:rsid w:val="00282962"/>
    <w:rsid w:val="002A5F37"/>
    <w:rsid w:val="002C6CBF"/>
    <w:rsid w:val="002F5CFB"/>
    <w:rsid w:val="00321027"/>
    <w:rsid w:val="00357008"/>
    <w:rsid w:val="003806E9"/>
    <w:rsid w:val="003A0E6B"/>
    <w:rsid w:val="003A25C8"/>
    <w:rsid w:val="003D5983"/>
    <w:rsid w:val="003E3C55"/>
    <w:rsid w:val="0042657A"/>
    <w:rsid w:val="004465CA"/>
    <w:rsid w:val="00492862"/>
    <w:rsid w:val="004B5B7C"/>
    <w:rsid w:val="004D4DC5"/>
    <w:rsid w:val="0050290F"/>
    <w:rsid w:val="005368AB"/>
    <w:rsid w:val="005441A1"/>
    <w:rsid w:val="00575BE4"/>
    <w:rsid w:val="00582FDE"/>
    <w:rsid w:val="00587C86"/>
    <w:rsid w:val="0059429A"/>
    <w:rsid w:val="005B6064"/>
    <w:rsid w:val="005E3738"/>
    <w:rsid w:val="00620C79"/>
    <w:rsid w:val="0066508C"/>
    <w:rsid w:val="00671C36"/>
    <w:rsid w:val="0068363C"/>
    <w:rsid w:val="006D1A7C"/>
    <w:rsid w:val="006D4A44"/>
    <w:rsid w:val="006F6D75"/>
    <w:rsid w:val="007279B6"/>
    <w:rsid w:val="00731A9C"/>
    <w:rsid w:val="0075767B"/>
    <w:rsid w:val="00770B06"/>
    <w:rsid w:val="00782786"/>
    <w:rsid w:val="007B770B"/>
    <w:rsid w:val="0081470D"/>
    <w:rsid w:val="00851A55"/>
    <w:rsid w:val="00854E7D"/>
    <w:rsid w:val="00894B4A"/>
    <w:rsid w:val="008B095A"/>
    <w:rsid w:val="008B66E6"/>
    <w:rsid w:val="008F4AAD"/>
    <w:rsid w:val="009212D3"/>
    <w:rsid w:val="009304D2"/>
    <w:rsid w:val="00943641"/>
    <w:rsid w:val="009A0FE9"/>
    <w:rsid w:val="009A6C5C"/>
    <w:rsid w:val="009B72E4"/>
    <w:rsid w:val="00A115E8"/>
    <w:rsid w:val="00A525D8"/>
    <w:rsid w:val="00A70315"/>
    <w:rsid w:val="00A94323"/>
    <w:rsid w:val="00AC0EF0"/>
    <w:rsid w:val="00AD6B77"/>
    <w:rsid w:val="00B52680"/>
    <w:rsid w:val="00B60FC1"/>
    <w:rsid w:val="00B92266"/>
    <w:rsid w:val="00C24F60"/>
    <w:rsid w:val="00C546F1"/>
    <w:rsid w:val="00C80A9F"/>
    <w:rsid w:val="00CC6B53"/>
    <w:rsid w:val="00D65D82"/>
    <w:rsid w:val="00D709D2"/>
    <w:rsid w:val="00DA76DF"/>
    <w:rsid w:val="00DB2D50"/>
    <w:rsid w:val="00E55320"/>
    <w:rsid w:val="00EC2AB9"/>
    <w:rsid w:val="00ED2357"/>
    <w:rsid w:val="00EE26A5"/>
    <w:rsid w:val="00EF49E2"/>
    <w:rsid w:val="00F226E0"/>
    <w:rsid w:val="00F433F0"/>
    <w:rsid w:val="00F95A52"/>
    <w:rsid w:val="6F400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字符"/>
    <w:basedOn w:val="7"/>
    <w:link w:val="4"/>
    <w:uiPriority w:val="99"/>
    <w:rPr>
      <w:sz w:val="18"/>
      <w:szCs w:val="18"/>
    </w:rPr>
  </w:style>
  <w:style w:type="character" w:customStyle="1" w:styleId="10">
    <w:name w:val="页脚 字符"/>
    <w:basedOn w:val="7"/>
    <w:link w:val="3"/>
    <w:uiPriority w:val="99"/>
    <w:rPr>
      <w:sz w:val="18"/>
      <w:szCs w:val="18"/>
    </w:rPr>
  </w:style>
  <w:style w:type="character" w:customStyle="1" w:styleId="11">
    <w:name w:val="批注框文本 字符"/>
    <w:basedOn w:val="7"/>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75FEC9-845D-4188-81AD-9E3E4C3AFFA1}">
  <ds:schemaRefs/>
</ds:datastoreItem>
</file>

<file path=docProps/app.xml><?xml version="1.0" encoding="utf-8"?>
<Properties xmlns="http://schemas.openxmlformats.org/officeDocument/2006/extended-properties" xmlns:vt="http://schemas.openxmlformats.org/officeDocument/2006/docPropsVTypes">
  <Template>Normal</Template>
  <Pages>6</Pages>
  <Words>321</Words>
  <Characters>1833</Characters>
  <Lines>15</Lines>
  <Paragraphs>4</Paragraphs>
  <TotalTime>690</TotalTime>
  <ScaleCrop>false</ScaleCrop>
  <LinksUpToDate>false</LinksUpToDate>
  <CharactersWithSpaces>2150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2020-08-28T01:19:00Z</dcterms:created>
  <dc:creator>Fang Yan</dc:creator>
  <cp:lastModifiedBy>李賏</cp:lastModifiedBy>
  <dcterms:modified xsi:type="dcterms:W3CDTF">2020-09-16T06:23:13Z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