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b/>
          <w:sz w:val="32"/>
          <w:szCs w:val="32"/>
        </w:rPr>
      </w:pPr>
      <w:bookmarkStart w:id="1" w:name="_GoBack"/>
      <w:bookmarkEnd w:id="1"/>
      <w:r>
        <w:rPr>
          <w:rFonts w:eastAsia="仿宋_GB2312"/>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227965</wp:posOffset>
                </wp:positionV>
                <wp:extent cx="6120130" cy="0"/>
                <wp:effectExtent l="0" t="28575" r="1270" b="34925"/>
                <wp:wrapNone/>
                <wp:docPr id="1" name="直线 109"/>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18.15pt;margin-top:17.95pt;height:0pt;width:481.9pt;z-index:251659264;mso-width-relative:margin;mso-height-relative:margin;" filled="f" stroked="t" coordsize="21600,21600" o:gfxdata="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9kNS1QAAAAkBAAAPAAAAAAAAAAEAIAAAACIAAABkcnMvZG93bnJldi54bWxQSwECFAAUAAAACACH&#10;TuJAF3fhhO4BAADkAwAADgAAAAAAAAABACAAAAAkAQAAZHJzL2Uyb0RvYy54bWxQSwUGAAAAAAYA&#10;BgBZAQAAhAUAAAAA&#10;">
                <v:fill on="f" focussize="0,0"/>
                <v:stroke weight="4.5pt" color="#FF0000" linestyle="thickThin" joinstyle="round"/>
                <v:imagedata o:title=""/>
                <o:lock v:ext="edit" aspectratio="f"/>
              </v:line>
            </w:pict>
          </mc:Fallback>
        </mc:AlternateContent>
      </w:r>
      <w:r>
        <w:rPr>
          <w:rFonts w:ascii="仿宋_GB2312" w:hAnsi="华文中宋" w:eastAsia="仿宋_GB2312"/>
          <w:b/>
          <w:color w:val="FF0000"/>
          <w:spacing w:val="70"/>
          <w:sz w:val="24"/>
          <w:szCs w:val="24"/>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-451485</wp:posOffset>
                </wp:positionV>
                <wp:extent cx="6052820" cy="746125"/>
                <wp:effectExtent l="0" t="0" r="0" b="0"/>
                <wp:wrapNone/>
                <wp:docPr id="2" name="文本框 102"/>
                <wp:cNvGraphicFramePr/>
                <a:graphic xmlns:a="http://schemas.openxmlformats.org/drawingml/2006/main">
                  <a:graphicData uri="http://schemas.microsoft.com/office/word/2010/wordprocessingShape">
                    <wps:wsp>
                      <wps:cNvSpPr txBox="1"/>
                      <wps:spPr>
                        <a:xfrm>
                          <a:off x="0" y="0"/>
                          <a:ext cx="6052820" cy="746125"/>
                        </a:xfrm>
                        <a:prstGeom prst="rect">
                          <a:avLst/>
                        </a:prstGeom>
                        <a:noFill/>
                        <a:ln>
                          <a:noFill/>
                        </a:ln>
                      </wps:spPr>
                      <wps:txbx>
                        <w:txbxContent>
                          <w:p>
                            <w:pPr>
                              <w:jc w:val="center"/>
                              <w:rPr>
                                <w:rFonts w:ascii="华文中宋" w:hAnsi="华文中宋" w:eastAsia="华文中宋"/>
                                <w:color w:val="FF0000"/>
                                <w:spacing w:val="-28"/>
                                <w:w w:val="95"/>
                                <w:sz w:val="56"/>
                                <w:szCs w:val="56"/>
                              </w:rPr>
                            </w:pPr>
                            <w:r>
                              <w:rPr>
                                <w:rFonts w:hint="eastAsia" w:ascii="华文中宋" w:hAnsi="华文中宋" w:eastAsia="华文中宋"/>
                                <w:color w:val="FF0000"/>
                                <w:spacing w:val="-28"/>
                                <w:w w:val="95"/>
                                <w:sz w:val="56"/>
                                <w:szCs w:val="56"/>
                              </w:rPr>
                              <w:t>中海石油气电集团有限责任公司浙江分公司</w:t>
                            </w:r>
                          </w:p>
                        </w:txbxContent>
                      </wps:txbx>
                      <wps:bodyPr upright="1"/>
                    </wps:wsp>
                  </a:graphicData>
                </a:graphic>
              </wp:anchor>
            </w:drawing>
          </mc:Choice>
          <mc:Fallback>
            <w:pict>
              <v:shape id="文本框 102" o:spid="_x0000_s1026" o:spt="202" type="#_x0000_t202" style="position:absolute;left:0pt;margin-left:-16.55pt;margin-top:-35.55pt;height:58.75pt;width:476.6pt;z-index:251659264;mso-width-relative:page;mso-height-relative:page;" filled="f" stroked="f" coordsize="21600,21600" o:gfxdata="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jEvytcA&#10;AAAKAQAADwAAAAAAAAABACAAAAAiAAAAZHJzL2Rvd25yZXYueG1sUEsBAhQAFAAAAAgAh07iQHOm&#10;m6euAQAAUAMAAA4AAAAAAAAAAQAgAAAAJgEAAGRycy9lMm9Eb2MueG1sUEsFBgAAAAAGAAYAWQEA&#10;AEYFAAAAAA==&#10;">
                <v:fill on="f" focussize="0,0"/>
                <v:stroke on="f"/>
                <v:imagedata o:title=""/>
                <o:lock v:ext="edit" aspectratio="f"/>
                <v:textbox>
                  <w:txbxContent>
                    <w:p>
                      <w:pPr>
                        <w:jc w:val="center"/>
                        <w:rPr>
                          <w:rFonts w:ascii="华文中宋" w:hAnsi="华文中宋" w:eastAsia="华文中宋"/>
                          <w:color w:val="FF0000"/>
                          <w:spacing w:val="-28"/>
                          <w:w w:val="95"/>
                          <w:sz w:val="56"/>
                          <w:szCs w:val="56"/>
                        </w:rPr>
                      </w:pPr>
                      <w:r>
                        <w:rPr>
                          <w:rFonts w:hint="eastAsia" w:ascii="华文中宋" w:hAnsi="华文中宋" w:eastAsia="华文中宋"/>
                          <w:color w:val="FF0000"/>
                          <w:spacing w:val="-28"/>
                          <w:w w:val="95"/>
                          <w:sz w:val="56"/>
                          <w:szCs w:val="56"/>
                        </w:rPr>
                        <w:t>中海石油气电集团有限责任公司浙江分公司</w:t>
                      </w:r>
                    </w:p>
                  </w:txbxContent>
                </v:textbox>
              </v:shape>
            </w:pict>
          </mc:Fallback>
        </mc:AlternateContent>
      </w:r>
    </w:p>
    <w:p>
      <w:pPr>
        <w:spacing w:line="560" w:lineRule="exact"/>
        <w:rPr>
          <w:rFonts w:hint="eastAsia" w:ascii="仿宋_GB2312" w:hAnsi="华文中宋" w:eastAsia="仿宋_GB2312"/>
          <w:color w:val="FF0000"/>
          <w:spacing w:val="70"/>
          <w:sz w:val="32"/>
          <w:szCs w:val="32"/>
        </w:rPr>
      </w:pPr>
      <w:r>
        <w:rPr>
          <w:rFonts w:ascii="仿宋_GB2312" w:hAnsi="仿宋" w:eastAsia="仿宋_GB2312"/>
          <w:sz w:val="32"/>
          <w:szCs w:val="32"/>
        </w:rPr>
        <w:t xml:space="preserve">         </w:t>
      </w:r>
    </w:p>
    <w:p>
      <w:pPr>
        <w:spacing w:line="560" w:lineRule="exact"/>
        <w:jc w:val="center"/>
        <w:rPr>
          <w:rFonts w:hint="eastAsia" w:ascii="方正小标宋简体" w:eastAsia="方正小标宋简体"/>
          <w:sz w:val="44"/>
          <w:szCs w:val="44"/>
          <w:lang w:val="en-US" w:eastAsia="zh-CN"/>
        </w:rPr>
      </w:pPr>
      <w:bookmarkStart w:id="0" w:name="文件标题"/>
      <w:r>
        <w:rPr>
          <w:rFonts w:hint="eastAsia" w:ascii="方正小标宋简体" w:eastAsia="方正小标宋简体"/>
          <w:sz w:val="44"/>
          <w:szCs w:val="44"/>
          <w:lang w:val="en-US" w:eastAsia="zh-CN"/>
        </w:rPr>
        <w:t>关于开展LNG运力竞价交易的公告</w:t>
      </w:r>
    </w:p>
    <w:p>
      <w:pPr>
        <w:spacing w:line="560" w:lineRule="exact"/>
        <w:jc w:val="center"/>
        <w:rPr>
          <w:rFonts w:hint="eastAsia" w:ascii="方正小标宋简体" w:eastAsia="方正小标宋简体"/>
          <w:sz w:val="44"/>
          <w:szCs w:val="44"/>
          <w:lang w:val="en-US" w:eastAsia="zh-CN"/>
        </w:rPr>
      </w:pPr>
    </w:p>
    <w:p>
      <w:pPr>
        <w:autoSpaceDE w:val="0"/>
        <w:autoSpaceDN w:val="0"/>
        <w:adjustRightInd w:val="0"/>
        <w:spacing w:line="560" w:lineRule="exact"/>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为服务LNG全产业链，促进各环节协同、高效发展，提高物流环节运转效率，通过交易平台为客户提供高效、便捷的运力服务，降低沟通成本，中海石油气电集团有限责任公司浙江分公司拟于近期通过上海石油天然气交易中心开始常态化开展LNG运力竞价交易活动，现公告如下：</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rPr>
        <w:t>一、</w:t>
      </w:r>
      <w:r>
        <w:rPr>
          <w:rFonts w:hint="eastAsia" w:ascii="黑体" w:hAnsi="黑体" w:eastAsia="黑体" w:cs="仿宋"/>
          <w:color w:val="000000"/>
          <w:kern w:val="0"/>
          <w:sz w:val="32"/>
          <w:szCs w:val="32"/>
          <w:lang w:val="en-US" w:eastAsia="zh-CN"/>
        </w:rPr>
        <w:t>交易时间</w:t>
      </w:r>
    </w:p>
    <w:p>
      <w:pPr>
        <w:autoSpaceDE w:val="0"/>
        <w:autoSpaceDN w:val="0"/>
        <w:adjustRightInd w:val="0"/>
        <w:spacing w:line="560" w:lineRule="exact"/>
        <w:ind w:firstLine="640" w:firstLineChars="200"/>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2024年7月1日-2024年9月30日期间每个交易日的9：00-11：30</w:t>
      </w:r>
      <w:r>
        <w:rPr>
          <w:rFonts w:hint="eastAsia" w:ascii="仿宋_GB2312" w:hAnsi="仿宋_GB2312" w:eastAsia="仿宋_GB2312" w:cs="仿宋_GB2312"/>
          <w:sz w:val="32"/>
        </w:rPr>
        <w:t>，</w:t>
      </w:r>
      <w:r>
        <w:rPr>
          <w:rFonts w:hint="eastAsia" w:ascii="仿宋_GB2312" w:hAnsi="仿宋" w:eastAsia="仿宋_GB2312" w:cs="仿宋"/>
          <w:color w:val="000000"/>
          <w:kern w:val="0"/>
          <w:sz w:val="32"/>
          <w:szCs w:val="32"/>
          <w:lang w:val="en-US" w:eastAsia="zh-CN"/>
        </w:rPr>
        <w:t>13:30-15:00。</w:t>
      </w:r>
      <w:bookmarkEnd w:id="0"/>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二</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交易标的</w:t>
      </w:r>
    </w:p>
    <w:p>
      <w:pPr>
        <w:autoSpaceDE w:val="0"/>
        <w:autoSpaceDN w:val="0"/>
        <w:adjustRightInd w:val="0"/>
        <w:spacing w:line="560" w:lineRule="exact"/>
        <w:ind w:firstLine="640" w:firstLineChars="200"/>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中海石油气电集团有限责任公司浙江分公司2024年7月1日-2024年9月30日期间的LNG资源配送计划所需的运力。</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三</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交易模式</w:t>
      </w:r>
    </w:p>
    <w:p>
      <w:pPr>
        <w:autoSpaceDE w:val="0"/>
        <w:autoSpaceDN w:val="0"/>
        <w:adjustRightInd w:val="0"/>
        <w:spacing w:line="560" w:lineRule="exact"/>
        <w:ind w:firstLine="640" w:firstLineChars="200"/>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通过上海石油天然气交易中心竞价交易系统交易进入“竞价交易”-“浙江运力专场”-“液化天然气”。</w:t>
      </w:r>
    </w:p>
    <w:tbl>
      <w:tblPr>
        <w:tblStyle w:val="26"/>
        <w:tblW w:w="7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733" w:type="dxa"/>
          </w:tcPr>
          <w:p>
            <w:pPr>
              <w:jc w:val="center"/>
              <w:rPr>
                <w:rFonts w:ascii="仿宋" w:hAnsi="仿宋" w:eastAsia="仿宋" w:cs="Times New Roman"/>
                <w:b/>
                <w:kern w:val="0"/>
                <w:sz w:val="32"/>
                <w:szCs w:val="32"/>
              </w:rPr>
            </w:pPr>
            <w:r>
              <w:rPr>
                <w:rFonts w:hint="eastAsia" w:ascii="仿宋" w:hAnsi="仿宋" w:eastAsia="仿宋" w:cs="Times New Roman"/>
                <w:b/>
                <w:kern w:val="0"/>
                <w:sz w:val="32"/>
                <w:szCs w:val="32"/>
              </w:rPr>
              <w:t>类别</w:t>
            </w:r>
          </w:p>
        </w:tc>
        <w:tc>
          <w:tcPr>
            <w:tcW w:w="4721" w:type="dxa"/>
          </w:tcPr>
          <w:p>
            <w:pPr>
              <w:jc w:val="center"/>
              <w:rPr>
                <w:rFonts w:ascii="仿宋" w:hAnsi="仿宋" w:eastAsia="仿宋" w:cs="Times New Roman"/>
                <w:b/>
                <w:kern w:val="0"/>
                <w:sz w:val="32"/>
                <w:szCs w:val="32"/>
              </w:rPr>
            </w:pPr>
            <w:r>
              <w:rPr>
                <w:rFonts w:hint="eastAsia" w:ascii="仿宋" w:hAnsi="仿宋" w:eastAsia="仿宋" w:cs="Times New Roman"/>
                <w:b/>
                <w:kern w:val="0"/>
                <w:sz w:val="32"/>
                <w:szCs w:val="32"/>
              </w:rPr>
              <w:t>说明或示例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挂单量</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需托运的货物数量，以吨为计量单位，默认单车装载量20吨。据实结算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最大摘单量</w:t>
            </w:r>
          </w:p>
        </w:tc>
        <w:tc>
          <w:tcPr>
            <w:tcW w:w="4721" w:type="dxa"/>
            <w:vMerge w:val="restart"/>
            <w:vAlign w:val="center"/>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等于挂单量，</w:t>
            </w:r>
            <w:r>
              <w:rPr>
                <w:rFonts w:ascii="仿宋" w:hAnsi="仿宋" w:eastAsia="仿宋" w:cs="Times New Roman"/>
                <w:kern w:val="0"/>
                <w:sz w:val="32"/>
                <w:szCs w:val="32"/>
              </w:rPr>
              <w:t>订单量不可拆分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733" w:type="dxa"/>
          </w:tcPr>
          <w:p>
            <w:pPr>
              <w:jc w:val="left"/>
              <w:rPr>
                <w:rFonts w:ascii="仿宋" w:hAnsi="仿宋" w:eastAsia="仿宋" w:cs="Times New Roman"/>
                <w:kern w:val="0"/>
                <w:sz w:val="32"/>
                <w:szCs w:val="32"/>
                <w:highlight w:val="yellow"/>
              </w:rPr>
            </w:pPr>
            <w:r>
              <w:rPr>
                <w:rFonts w:hint="eastAsia" w:ascii="仿宋" w:hAnsi="仿宋" w:eastAsia="仿宋" w:cs="Times New Roman"/>
                <w:kern w:val="0"/>
                <w:sz w:val="32"/>
                <w:szCs w:val="32"/>
              </w:rPr>
              <w:t>最小摘单</w:t>
            </w:r>
            <w:r>
              <w:rPr>
                <w:rFonts w:ascii="仿宋" w:hAnsi="仿宋" w:eastAsia="仿宋" w:cs="Times New Roman"/>
                <w:kern w:val="0"/>
                <w:sz w:val="32"/>
                <w:szCs w:val="32"/>
              </w:rPr>
              <w:t>量</w:t>
            </w:r>
          </w:p>
        </w:tc>
        <w:tc>
          <w:tcPr>
            <w:tcW w:w="4721" w:type="dxa"/>
            <w:vMerge w:val="continue"/>
          </w:tcPr>
          <w:p>
            <w:pPr>
              <w:jc w:val="left"/>
              <w:rPr>
                <w:rFonts w:ascii="仿宋" w:hAnsi="仿宋" w:eastAsia="仿宋" w:cs="Times New Roman"/>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减价幅度</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减价数值须为</w:t>
            </w:r>
            <w:r>
              <w:rPr>
                <w:rFonts w:ascii="仿宋" w:hAnsi="仿宋" w:eastAsia="仿宋" w:cs="Times New Roman"/>
                <w:kern w:val="0"/>
                <w:sz w:val="32"/>
                <w:szCs w:val="32"/>
              </w:rPr>
              <w:t>0.01</w:t>
            </w:r>
            <w:r>
              <w:rPr>
                <w:rFonts w:hint="eastAsia" w:ascii="仿宋" w:hAnsi="仿宋" w:eastAsia="仿宋" w:cs="Times New Roman"/>
                <w:kern w:val="0"/>
                <w:sz w:val="32"/>
                <w:szCs w:val="32"/>
              </w:rPr>
              <w:t>的正整数倍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733" w:type="dxa"/>
          </w:tcPr>
          <w:p>
            <w:pPr>
              <w:jc w:val="left"/>
              <w:rPr>
                <w:rFonts w:ascii="仿宋" w:hAnsi="仿宋" w:eastAsia="仿宋" w:cs="Times New Roman"/>
                <w:kern w:val="0"/>
                <w:sz w:val="32"/>
                <w:szCs w:val="32"/>
              </w:rPr>
            </w:pPr>
            <w:r>
              <w:rPr>
                <w:rFonts w:ascii="仿宋" w:hAnsi="仿宋" w:eastAsia="仿宋" w:cs="Times New Roman"/>
                <w:kern w:val="0"/>
                <w:sz w:val="32"/>
                <w:szCs w:val="32"/>
              </w:rPr>
              <w:t>交收地点</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货物交收地点（以托运方调度指令为准）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交收开始/截止日期</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运输的起始/终止日期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里程区间</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运输的里程区间段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倒计时</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挂单60分钟或有用户出价时，开始倒计时。倒计时期间有新报价，倒计时3分钟重新开始。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733"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成交</w:t>
            </w:r>
            <w:r>
              <w:rPr>
                <w:rFonts w:ascii="仿宋" w:hAnsi="仿宋" w:eastAsia="仿宋" w:cs="Times New Roman"/>
                <w:kern w:val="0"/>
                <w:sz w:val="32"/>
                <w:szCs w:val="32"/>
              </w:rPr>
              <w:t>规则</w:t>
            </w:r>
          </w:p>
        </w:tc>
        <w:tc>
          <w:tcPr>
            <w:tcW w:w="4721" w:type="dxa"/>
          </w:tcPr>
          <w:p>
            <w:pPr>
              <w:jc w:val="left"/>
              <w:rPr>
                <w:rFonts w:ascii="仿宋" w:hAnsi="仿宋" w:eastAsia="仿宋" w:cs="Times New Roman"/>
                <w:kern w:val="0"/>
                <w:sz w:val="32"/>
                <w:szCs w:val="32"/>
              </w:rPr>
            </w:pPr>
            <w:r>
              <w:rPr>
                <w:rFonts w:hint="eastAsia" w:ascii="仿宋" w:hAnsi="仿宋" w:eastAsia="仿宋" w:cs="Times New Roman"/>
                <w:kern w:val="0"/>
                <w:sz w:val="32"/>
                <w:szCs w:val="32"/>
              </w:rPr>
              <w:t>倒计时期间内无新报价，按“价格优先、时间优先”顺序成交，交易结束。若截至结束时间仍处于倒计时状态，则交易强制终止，按有效报价成交。</w:t>
            </w:r>
          </w:p>
        </w:tc>
      </w:tr>
    </w:tbl>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四</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活动参与资格</w:t>
      </w:r>
    </w:p>
    <w:p>
      <w:pPr>
        <w:tabs>
          <w:tab w:val="left" w:pos="0"/>
          <w:tab w:val="left" w:pos="7665"/>
        </w:tabs>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承运方须为通过中海石油气电集团认证，且与中海石油气电集团有限责任公司浙江分公司</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原名：</w:t>
      </w:r>
      <w:r>
        <w:rPr>
          <w:rFonts w:hint="eastAsia" w:ascii="仿宋_GB2312" w:hAnsi="仿宋_GB2312" w:eastAsia="仿宋_GB2312" w:cs="仿宋_GB2312"/>
          <w:sz w:val="32"/>
        </w:rPr>
        <w:t>中海石油气电集团有限责任公司浙江</w:t>
      </w:r>
      <w:r>
        <w:rPr>
          <w:rFonts w:hint="eastAsia" w:ascii="仿宋_GB2312" w:hAnsi="仿宋_GB2312" w:eastAsia="仿宋_GB2312" w:cs="仿宋_GB2312"/>
          <w:sz w:val="32"/>
          <w:lang w:val="en-US" w:eastAsia="zh-CN"/>
        </w:rPr>
        <w:t>销售</w:t>
      </w:r>
      <w:r>
        <w:rPr>
          <w:rFonts w:hint="eastAsia" w:ascii="仿宋_GB2312" w:hAnsi="仿宋_GB2312" w:eastAsia="仿宋_GB2312" w:cs="仿宋_GB2312"/>
          <w:sz w:val="32"/>
        </w:rPr>
        <w:t>分公司</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签署LNG运输服务主合同的企业，企业及其车辆、从业人员的资质须符合国家及地方相关法律法规要求</w:t>
      </w:r>
      <w:r>
        <w:rPr>
          <w:rFonts w:hint="eastAsia" w:ascii="仿宋_GB2312" w:hAnsi="仿宋_GB2312" w:eastAsia="仿宋_GB2312" w:cs="仿宋_GB2312"/>
          <w:sz w:val="32"/>
          <w:lang w:eastAsia="zh-CN"/>
        </w:rPr>
        <w:t>。</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五</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交易保证金及服务费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承运方应在交易前入金并确保资金充足，入金实时到账时间为：周一至周五9:00-15:00。相关费用标准如下：</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1.交易保证金：一次性冻</w:t>
      </w:r>
      <w:r>
        <w:rPr>
          <w:rFonts w:hint="eastAsia" w:ascii="仿宋_GB2312" w:hAnsi="仿宋_GB2312" w:eastAsia="仿宋_GB2312" w:cs="仿宋_GB2312"/>
          <w:bCs/>
          <w:sz w:val="32"/>
          <w:szCs w:val="32"/>
        </w:rPr>
        <w:t>结交易保证金50000元（大写：伍万元整）。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2.交易服务费：交易服务费为10元/趟次（释义：按装载量20吨/车计算，每交易20吨算作一个趟次）。</w:t>
      </w:r>
    </w:p>
    <w:p>
      <w:pPr>
        <w:tabs>
          <w:tab w:val="left" w:pos="0"/>
          <w:tab w:val="left" w:pos="7665"/>
        </w:tabs>
        <w:spacing w:line="56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rPr>
        <w:t>交易中心有权根据市场情况，对交易保证金和服务费率进行调整</w:t>
      </w:r>
      <w:r>
        <w:rPr>
          <w:rFonts w:hint="eastAsia" w:ascii="仿宋_GB2312" w:hAnsi="仿宋_GB2312" w:eastAsia="仿宋_GB2312" w:cs="仿宋_GB2312"/>
          <w:sz w:val="32"/>
          <w:szCs w:val="32"/>
          <w:lang w:eastAsia="zh-CN"/>
        </w:rPr>
        <w:t>。</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六</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合同执行</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1.合同生效：交易完成后，如生成的基础运力确认函（确认函格式见附件2）涉及需核验通行证的特殊站点（参见下文第</w:t>
      </w:r>
      <w:r>
        <w:rPr>
          <w:rFonts w:hint="eastAsia" w:ascii="仿宋_GB2312" w:hAnsi="仿宋_GB2312" w:eastAsia="仿宋_GB2312" w:cs="仿宋_GB2312"/>
          <w:sz w:val="32"/>
          <w:lang w:val="en-US" w:eastAsia="zh-CN"/>
        </w:rPr>
        <w:t>八</w:t>
      </w:r>
      <w:r>
        <w:rPr>
          <w:rFonts w:hint="eastAsia" w:ascii="仿宋_GB2312" w:hAnsi="仿宋_GB2312" w:eastAsia="仿宋_GB2312" w:cs="仿宋_GB2312"/>
          <w:sz w:val="32"/>
        </w:rPr>
        <w:t>节“注意事项”），</w:t>
      </w:r>
      <w:r>
        <w:rPr>
          <w:rFonts w:hint="eastAsia" w:ascii="仿宋_GB2312" w:hAnsi="仿宋_GB2312" w:eastAsia="仿宋_GB2312" w:cs="仿宋_GB2312"/>
          <w:sz w:val="32"/>
          <w:lang w:val="en-US" w:eastAsia="zh-CN"/>
        </w:rPr>
        <w:t>而经核验发现承运方不具备相应站点的通行证</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则</w:t>
      </w:r>
      <w:r>
        <w:rPr>
          <w:rFonts w:hint="eastAsia" w:ascii="仿宋_GB2312" w:hAnsi="仿宋_GB2312" w:eastAsia="仿宋_GB2312" w:cs="仿宋_GB2312"/>
          <w:sz w:val="32"/>
        </w:rPr>
        <w:t>该基础运力确认函</w:t>
      </w:r>
      <w:r>
        <w:rPr>
          <w:rFonts w:hint="eastAsia" w:ascii="仿宋_GB2312" w:hAnsi="仿宋_GB2312" w:eastAsia="仿宋_GB2312" w:cs="仿宋_GB2312"/>
          <w:sz w:val="32"/>
          <w:lang w:val="en-US" w:eastAsia="zh-CN"/>
        </w:rPr>
        <w:t>将被作废</w:t>
      </w:r>
      <w:r>
        <w:rPr>
          <w:rFonts w:hint="eastAsia" w:ascii="仿宋_GB2312" w:hAnsi="仿宋_GB2312" w:eastAsia="仿宋_GB2312" w:cs="仿宋_GB2312"/>
          <w:sz w:val="32"/>
        </w:rPr>
        <w:t>。其余情况下，交易完成后生成的基础运力确认函即时生效。</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2.运输计划：双方根据电子合同进一步明确运输具体计划时间节点、送到地点及车辆、人员信息。</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3.运费结算：双方根据实际运输货物数量、里程进行结算，运输单价以交易生成的基础运力确认函为准。</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违约处理：任何一方拒绝履行合同或因一方违约行为导致合同无法履行的，根据买卖双方签署的LNG运输服务主合同条款承担相应责任。如双方在交易过程中发生争议，可自行协商解决，也可向交易中心调解解决。</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七</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账号注册、签约入金、报名</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1.交易账号注册：登录上海石油天然气交易中心官网（www.shpgx.com）-会员服务-会员注册，按要求提交相关资料，并跟踪审核进度。</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2.银行签约及入金：查阅上海石油天然气交易中心官网-入市指南-操作指南，根据操作教程完成银行账户签约及入金，确保交易账号余额足以支付交易保证金及服务费。</w:t>
      </w:r>
    </w:p>
    <w:p>
      <w:pPr>
        <w:tabs>
          <w:tab w:val="left" w:pos="0"/>
          <w:tab w:val="left" w:pos="7665"/>
        </w:tabs>
        <w:spacing w:line="560" w:lineRule="exact"/>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报名方式：填写《LNG运力交易报名单》（见附件1），加盖公章后将扫描件发送至：LNG@shpgx.com及sh_lng@cnooc.com.cn。</w:t>
      </w:r>
    </w:p>
    <w:p>
      <w:pPr>
        <w:autoSpaceDE w:val="0"/>
        <w:autoSpaceDN w:val="0"/>
        <w:adjustRightInd w:val="0"/>
        <w:spacing w:line="560" w:lineRule="exact"/>
        <w:ind w:firstLine="640" w:firstLineChars="200"/>
        <w:rPr>
          <w:rFonts w:hint="default"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lang w:val="en-US" w:eastAsia="zh-CN"/>
        </w:rPr>
        <w:t>八</w:t>
      </w:r>
      <w:r>
        <w:rPr>
          <w:rFonts w:hint="eastAsia" w:ascii="黑体" w:hAnsi="黑体" w:eastAsia="黑体" w:cs="仿宋"/>
          <w:color w:val="000000"/>
          <w:kern w:val="0"/>
          <w:sz w:val="32"/>
          <w:szCs w:val="32"/>
        </w:rPr>
        <w:t>、</w:t>
      </w:r>
      <w:r>
        <w:rPr>
          <w:rFonts w:hint="eastAsia" w:ascii="黑体" w:hAnsi="黑体" w:eastAsia="黑体" w:cs="仿宋"/>
          <w:color w:val="000000"/>
          <w:kern w:val="0"/>
          <w:sz w:val="32"/>
          <w:szCs w:val="32"/>
          <w:lang w:val="en-US" w:eastAsia="zh-CN"/>
        </w:rPr>
        <w:t>注意事项</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1.本期参与配送的部分加气站（详见下表清单）有严格的保供要求且需要办理有关部门的通行证，为确保运输及时可靠，新增的承运方办证完成后需提供纸质版证件交由托运方核验，核验通过后方可视为有效成交。 </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需要办理通行证的特殊站点有关信息如下：</w:t>
      </w:r>
    </w:p>
    <w:tbl>
      <w:tblPr>
        <w:tblStyle w:val="16"/>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2167"/>
        <w:gridCol w:w="170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 w:val="24"/>
                <w:szCs w:val="24"/>
              </w:rPr>
            </w:pPr>
            <w:r>
              <w:rPr>
                <w:rFonts w:hint="eastAsia" w:ascii="仿宋" w:hAnsi="仿宋" w:eastAsia="仿宋"/>
                <w:sz w:val="24"/>
                <w:szCs w:val="24"/>
              </w:rPr>
              <w:t>站点名称</w:t>
            </w:r>
          </w:p>
        </w:tc>
        <w:tc>
          <w:tcPr>
            <w:tcW w:w="2167" w:type="dxa"/>
          </w:tcPr>
          <w:p>
            <w:pPr>
              <w:rPr>
                <w:rFonts w:ascii="仿宋" w:hAnsi="仿宋" w:eastAsia="仿宋"/>
                <w:sz w:val="24"/>
                <w:szCs w:val="24"/>
              </w:rPr>
            </w:pPr>
            <w:r>
              <w:rPr>
                <w:rFonts w:hint="eastAsia" w:ascii="仿宋" w:hAnsi="仿宋" w:eastAsia="仿宋"/>
                <w:sz w:val="24"/>
                <w:szCs w:val="24"/>
              </w:rPr>
              <w:t>地址</w:t>
            </w:r>
          </w:p>
        </w:tc>
        <w:tc>
          <w:tcPr>
            <w:tcW w:w="1707" w:type="dxa"/>
          </w:tcPr>
          <w:p>
            <w:pPr>
              <w:rPr>
                <w:rFonts w:ascii="仿宋" w:hAnsi="仿宋" w:eastAsia="仿宋"/>
                <w:sz w:val="24"/>
                <w:szCs w:val="24"/>
              </w:rPr>
            </w:pPr>
            <w:r>
              <w:rPr>
                <w:rFonts w:hint="eastAsia" w:ascii="仿宋" w:hAnsi="仿宋" w:eastAsia="仿宋"/>
                <w:sz w:val="24"/>
                <w:szCs w:val="24"/>
              </w:rPr>
              <w:t>办证种类（仅供参考）</w:t>
            </w:r>
          </w:p>
        </w:tc>
        <w:tc>
          <w:tcPr>
            <w:tcW w:w="1701" w:type="dxa"/>
          </w:tcPr>
          <w:p>
            <w:pPr>
              <w:rPr>
                <w:rFonts w:ascii="仿宋" w:hAnsi="仿宋" w:eastAsia="仿宋"/>
                <w:sz w:val="24"/>
                <w:szCs w:val="24"/>
              </w:rPr>
            </w:pPr>
            <w:r>
              <w:rPr>
                <w:rFonts w:hint="eastAsia" w:ascii="仿宋" w:hAnsi="仿宋" w:eastAsia="仿宋"/>
                <w:sz w:val="24"/>
                <w:szCs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 w:val="32"/>
                <w:szCs w:val="32"/>
              </w:rPr>
            </w:pPr>
            <w:r>
              <w:rPr>
                <w:rFonts w:hint="eastAsia" w:ascii="仿宋" w:hAnsi="仿宋" w:eastAsia="仿宋"/>
                <w:szCs w:val="32"/>
              </w:rPr>
              <w:t>浙江省宁波市北仑区中海油霞浦加气站</w:t>
            </w:r>
          </w:p>
        </w:tc>
        <w:tc>
          <w:tcPr>
            <w:tcW w:w="2167" w:type="dxa"/>
          </w:tcPr>
          <w:p>
            <w:pPr>
              <w:rPr>
                <w:rFonts w:ascii="仿宋" w:hAnsi="仿宋" w:eastAsia="仿宋"/>
                <w:szCs w:val="32"/>
              </w:rPr>
            </w:pPr>
            <w:r>
              <w:rPr>
                <w:rFonts w:ascii="仿宋" w:hAnsi="仿宋" w:eastAsia="仿宋"/>
                <w:szCs w:val="32"/>
              </w:rPr>
              <w:t>宁波市北仑区霞浦街道G329国道北仑集运基地西北角</w:t>
            </w:r>
          </w:p>
        </w:tc>
        <w:tc>
          <w:tcPr>
            <w:tcW w:w="1707" w:type="dxa"/>
          </w:tcPr>
          <w:p>
            <w:pPr>
              <w:rPr>
                <w:rFonts w:ascii="仿宋" w:hAnsi="仿宋" w:eastAsia="仿宋"/>
                <w:szCs w:val="32"/>
              </w:rPr>
            </w:pPr>
            <w:r>
              <w:rPr>
                <w:rFonts w:hint="eastAsia" w:ascii="仿宋" w:hAnsi="仿宋" w:eastAsia="仿宋"/>
                <w:szCs w:val="32"/>
              </w:rPr>
              <w:t>北仑交警核发通行证</w:t>
            </w:r>
          </w:p>
        </w:tc>
        <w:tc>
          <w:tcPr>
            <w:tcW w:w="1701" w:type="dxa"/>
          </w:tcPr>
          <w:p>
            <w:pPr>
              <w:rPr>
                <w:rFonts w:ascii="仿宋" w:hAnsi="仿宋" w:eastAsia="仿宋"/>
                <w:sz w:val="32"/>
                <w:szCs w:val="32"/>
              </w:rPr>
            </w:pPr>
            <w:r>
              <w:rPr>
                <w:rFonts w:hint="eastAsia" w:ascii="仿宋" w:hAnsi="仿宋" w:eastAsia="仿宋"/>
                <w:szCs w:val="32"/>
              </w:rPr>
              <w:t>北仑交警大队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 w:val="32"/>
                <w:szCs w:val="32"/>
              </w:rPr>
            </w:pPr>
            <w:r>
              <w:rPr>
                <w:rFonts w:hint="eastAsia" w:ascii="仿宋" w:hAnsi="仿宋" w:eastAsia="仿宋"/>
                <w:szCs w:val="32"/>
              </w:rPr>
              <w:t>浙江省宁波市北仑区中海油大碶公交加气站</w:t>
            </w:r>
          </w:p>
        </w:tc>
        <w:tc>
          <w:tcPr>
            <w:tcW w:w="2167" w:type="dxa"/>
          </w:tcPr>
          <w:p>
            <w:pPr>
              <w:rPr>
                <w:rFonts w:ascii="仿宋" w:hAnsi="仿宋" w:eastAsia="仿宋"/>
                <w:szCs w:val="32"/>
              </w:rPr>
            </w:pPr>
            <w:r>
              <w:rPr>
                <w:rFonts w:ascii="仿宋" w:hAnsi="仿宋" w:eastAsia="仿宋"/>
                <w:szCs w:val="32"/>
              </w:rPr>
              <w:t>宁波市北仑区大碶街道龙角山路11号</w:t>
            </w:r>
          </w:p>
        </w:tc>
        <w:tc>
          <w:tcPr>
            <w:tcW w:w="1707" w:type="dxa"/>
          </w:tcPr>
          <w:p>
            <w:pPr>
              <w:rPr>
                <w:rFonts w:ascii="仿宋" w:hAnsi="仿宋" w:eastAsia="仿宋"/>
                <w:szCs w:val="32"/>
              </w:rPr>
            </w:pPr>
            <w:r>
              <w:rPr>
                <w:rFonts w:hint="eastAsia" w:ascii="仿宋" w:hAnsi="仿宋" w:eastAsia="仿宋"/>
                <w:szCs w:val="32"/>
              </w:rPr>
              <w:t>北仑交警核发通行证</w:t>
            </w:r>
          </w:p>
        </w:tc>
        <w:tc>
          <w:tcPr>
            <w:tcW w:w="1701" w:type="dxa"/>
          </w:tcPr>
          <w:p>
            <w:pPr>
              <w:rPr>
                <w:rFonts w:ascii="仿宋" w:hAnsi="仿宋" w:eastAsia="仿宋"/>
                <w:sz w:val="32"/>
                <w:szCs w:val="32"/>
              </w:rPr>
            </w:pPr>
            <w:r>
              <w:rPr>
                <w:rFonts w:hint="eastAsia" w:ascii="仿宋" w:hAnsi="仿宋" w:eastAsia="仿宋"/>
                <w:szCs w:val="32"/>
              </w:rPr>
              <w:t>北仑交警大队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浙江省宁波市鄞州区中海油永昌加气站</w:t>
            </w:r>
          </w:p>
        </w:tc>
        <w:tc>
          <w:tcPr>
            <w:tcW w:w="2167" w:type="dxa"/>
          </w:tcPr>
          <w:p>
            <w:pPr>
              <w:rPr>
                <w:rFonts w:ascii="仿宋" w:hAnsi="仿宋" w:eastAsia="仿宋"/>
                <w:szCs w:val="32"/>
              </w:rPr>
            </w:pPr>
            <w:r>
              <w:rPr>
                <w:rFonts w:ascii="仿宋" w:hAnsi="仿宋" w:eastAsia="仿宋"/>
                <w:szCs w:val="32"/>
              </w:rPr>
              <w:t>宁波市鄞州区清水桥路538号</w:t>
            </w:r>
          </w:p>
        </w:tc>
        <w:tc>
          <w:tcPr>
            <w:tcW w:w="1707" w:type="dxa"/>
          </w:tcPr>
          <w:p>
            <w:pPr>
              <w:rPr>
                <w:rFonts w:ascii="仿宋" w:hAnsi="仿宋" w:eastAsia="仿宋"/>
                <w:szCs w:val="32"/>
              </w:rPr>
            </w:pPr>
            <w:r>
              <w:rPr>
                <w:rFonts w:hint="eastAsia" w:ascii="仿宋" w:hAnsi="仿宋" w:eastAsia="仿宋"/>
                <w:szCs w:val="32"/>
              </w:rPr>
              <w:t>鄞州+北仑交警核发通行证</w:t>
            </w:r>
          </w:p>
        </w:tc>
        <w:tc>
          <w:tcPr>
            <w:tcW w:w="1701" w:type="dxa"/>
          </w:tcPr>
          <w:p>
            <w:pPr>
              <w:rPr>
                <w:rFonts w:ascii="仿宋" w:hAnsi="仿宋" w:eastAsia="仿宋"/>
                <w:sz w:val="32"/>
                <w:szCs w:val="32"/>
              </w:rPr>
            </w:pPr>
            <w:r>
              <w:rPr>
                <w:rFonts w:hint="eastAsia" w:ascii="仿宋" w:hAnsi="仿宋" w:eastAsia="仿宋"/>
                <w:szCs w:val="32"/>
              </w:rPr>
              <w:t>北仑交警大队、鄞州交警大队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浙江省宁波市鄞州区永盛加气站</w:t>
            </w:r>
          </w:p>
        </w:tc>
        <w:tc>
          <w:tcPr>
            <w:tcW w:w="2167" w:type="dxa"/>
          </w:tcPr>
          <w:p>
            <w:pPr>
              <w:rPr>
                <w:rFonts w:ascii="仿宋" w:hAnsi="仿宋" w:eastAsia="仿宋"/>
                <w:szCs w:val="32"/>
              </w:rPr>
            </w:pPr>
            <w:r>
              <w:rPr>
                <w:rFonts w:ascii="仿宋" w:hAnsi="仿宋" w:eastAsia="仿宋"/>
                <w:szCs w:val="32"/>
              </w:rPr>
              <w:t>宁波市鄞州区文水路175号永盛公交公司场站内</w:t>
            </w:r>
          </w:p>
        </w:tc>
        <w:tc>
          <w:tcPr>
            <w:tcW w:w="1707" w:type="dxa"/>
          </w:tcPr>
          <w:p>
            <w:pPr>
              <w:rPr>
                <w:rFonts w:ascii="仿宋" w:hAnsi="仿宋" w:eastAsia="仿宋"/>
                <w:szCs w:val="32"/>
              </w:rPr>
            </w:pPr>
            <w:r>
              <w:rPr>
                <w:rFonts w:hint="eastAsia" w:ascii="仿宋" w:hAnsi="仿宋" w:eastAsia="仿宋"/>
                <w:szCs w:val="32"/>
              </w:rPr>
              <w:t>鄞州+北仑交警核发通行证</w:t>
            </w:r>
          </w:p>
        </w:tc>
        <w:tc>
          <w:tcPr>
            <w:tcW w:w="1701" w:type="dxa"/>
          </w:tcPr>
          <w:p>
            <w:pPr>
              <w:rPr>
                <w:rFonts w:ascii="仿宋" w:hAnsi="仿宋" w:eastAsia="仿宋"/>
                <w:sz w:val="32"/>
                <w:szCs w:val="32"/>
              </w:rPr>
            </w:pPr>
            <w:r>
              <w:rPr>
                <w:rFonts w:hint="eastAsia" w:ascii="仿宋" w:hAnsi="仿宋" w:eastAsia="仿宋"/>
                <w:szCs w:val="32"/>
              </w:rPr>
              <w:t>北仑交警大队、鄞州交警大队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浙江省宁波市镇海区中海油镇海公交加气站</w:t>
            </w:r>
          </w:p>
        </w:tc>
        <w:tc>
          <w:tcPr>
            <w:tcW w:w="2167" w:type="dxa"/>
          </w:tcPr>
          <w:p>
            <w:pPr>
              <w:rPr>
                <w:rFonts w:ascii="仿宋" w:hAnsi="仿宋" w:eastAsia="仿宋"/>
                <w:szCs w:val="32"/>
              </w:rPr>
            </w:pPr>
            <w:r>
              <w:rPr>
                <w:rFonts w:ascii="仿宋" w:hAnsi="仿宋" w:eastAsia="仿宋"/>
                <w:szCs w:val="32"/>
              </w:rPr>
              <w:t>宁波市镇海区骆驼慈海南路770号</w:t>
            </w:r>
          </w:p>
        </w:tc>
        <w:tc>
          <w:tcPr>
            <w:tcW w:w="1707" w:type="dxa"/>
          </w:tcPr>
          <w:p>
            <w:pPr>
              <w:rPr>
                <w:rFonts w:ascii="仿宋" w:hAnsi="仿宋" w:eastAsia="仿宋"/>
                <w:szCs w:val="32"/>
              </w:rPr>
            </w:pPr>
            <w:r>
              <w:rPr>
                <w:rFonts w:hint="eastAsia" w:ascii="仿宋" w:hAnsi="仿宋" w:eastAsia="仿宋"/>
                <w:szCs w:val="32"/>
              </w:rPr>
              <w:t>镇海交警核发通行证</w:t>
            </w:r>
          </w:p>
        </w:tc>
        <w:tc>
          <w:tcPr>
            <w:tcW w:w="1701" w:type="dxa"/>
          </w:tcPr>
          <w:p>
            <w:pPr>
              <w:rPr>
                <w:rFonts w:ascii="仿宋" w:hAnsi="仿宋" w:eastAsia="仿宋"/>
                <w:sz w:val="32"/>
                <w:szCs w:val="32"/>
              </w:rPr>
            </w:pPr>
            <w:r>
              <w:rPr>
                <w:rFonts w:hint="eastAsia" w:ascii="仿宋" w:hAnsi="仿宋" w:eastAsia="仿宋"/>
                <w:szCs w:val="32"/>
              </w:rPr>
              <w:t>镇海交警大队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浙江省宁波市鄞州区东部新城加气站</w:t>
            </w:r>
          </w:p>
        </w:tc>
        <w:tc>
          <w:tcPr>
            <w:tcW w:w="2167" w:type="dxa"/>
          </w:tcPr>
          <w:p>
            <w:pPr>
              <w:rPr>
                <w:rFonts w:ascii="仿宋" w:hAnsi="仿宋" w:eastAsia="仿宋"/>
                <w:szCs w:val="32"/>
              </w:rPr>
            </w:pPr>
            <w:r>
              <w:rPr>
                <w:rFonts w:ascii="仿宋" w:hAnsi="仿宋" w:eastAsia="仿宋"/>
                <w:szCs w:val="32"/>
              </w:rPr>
              <w:t>宁波市鄞州区兴宁东路852号</w:t>
            </w:r>
          </w:p>
        </w:tc>
        <w:tc>
          <w:tcPr>
            <w:tcW w:w="1707" w:type="dxa"/>
          </w:tcPr>
          <w:p>
            <w:pPr>
              <w:rPr>
                <w:rFonts w:ascii="仿宋" w:hAnsi="仿宋" w:eastAsia="仿宋"/>
                <w:szCs w:val="32"/>
              </w:rPr>
            </w:pPr>
            <w:r>
              <w:rPr>
                <w:rFonts w:hint="eastAsia" w:ascii="仿宋" w:hAnsi="仿宋" w:eastAsia="仿宋"/>
                <w:szCs w:val="32"/>
              </w:rPr>
              <w:t>鄞州交警核发通行证</w:t>
            </w:r>
          </w:p>
        </w:tc>
        <w:tc>
          <w:tcPr>
            <w:tcW w:w="1701" w:type="dxa"/>
          </w:tcPr>
          <w:p>
            <w:pPr>
              <w:rPr>
                <w:rFonts w:ascii="仿宋" w:hAnsi="仿宋" w:eastAsia="仿宋"/>
                <w:sz w:val="32"/>
                <w:szCs w:val="32"/>
              </w:rPr>
            </w:pPr>
            <w:r>
              <w:rPr>
                <w:rFonts w:hint="eastAsia" w:ascii="仿宋" w:hAnsi="仿宋" w:eastAsia="仿宋"/>
                <w:szCs w:val="32"/>
              </w:rPr>
              <w:t>鄞州交警大队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浙江省宁波市北仑区穿好连接线加气站</w:t>
            </w:r>
          </w:p>
        </w:tc>
        <w:tc>
          <w:tcPr>
            <w:tcW w:w="2167" w:type="dxa"/>
          </w:tcPr>
          <w:p>
            <w:pPr>
              <w:rPr>
                <w:rFonts w:ascii="仿宋" w:hAnsi="仿宋" w:eastAsia="仿宋"/>
                <w:szCs w:val="32"/>
              </w:rPr>
            </w:pPr>
            <w:r>
              <w:rPr>
                <w:rFonts w:hint="eastAsia" w:ascii="仿宋" w:hAnsi="仿宋" w:eastAsia="仿宋"/>
                <w:szCs w:val="32"/>
              </w:rPr>
              <w:t>宁波市北仑穿山疏港高速公路海关预录点处</w:t>
            </w:r>
          </w:p>
        </w:tc>
        <w:tc>
          <w:tcPr>
            <w:tcW w:w="1707" w:type="dxa"/>
          </w:tcPr>
          <w:p>
            <w:pPr>
              <w:rPr>
                <w:rFonts w:ascii="仿宋" w:hAnsi="仿宋" w:eastAsia="仿宋"/>
                <w:szCs w:val="32"/>
              </w:rPr>
            </w:pPr>
            <w:r>
              <w:rPr>
                <w:rFonts w:hint="eastAsia" w:ascii="仿宋" w:hAnsi="仿宋" w:eastAsia="仿宋"/>
                <w:szCs w:val="32"/>
              </w:rPr>
              <w:t>宁波港区通行证</w:t>
            </w:r>
          </w:p>
        </w:tc>
        <w:tc>
          <w:tcPr>
            <w:tcW w:w="1701" w:type="dxa"/>
          </w:tcPr>
          <w:p>
            <w:pPr>
              <w:rPr>
                <w:rFonts w:ascii="仿宋" w:hAnsi="仿宋" w:eastAsia="仿宋"/>
                <w:sz w:val="32"/>
                <w:szCs w:val="32"/>
              </w:rPr>
            </w:pPr>
            <w:r>
              <w:rPr>
                <w:rFonts w:hint="eastAsia" w:ascii="仿宋" w:hAnsi="仿宋" w:eastAsia="仿宋"/>
                <w:szCs w:val="32"/>
              </w:rPr>
              <w:t>相应港区的码头公司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浙江省宁波市北仑区大榭招商加气站</w:t>
            </w:r>
          </w:p>
        </w:tc>
        <w:tc>
          <w:tcPr>
            <w:tcW w:w="2167" w:type="dxa"/>
          </w:tcPr>
          <w:p>
            <w:pPr>
              <w:rPr>
                <w:rFonts w:ascii="仿宋" w:hAnsi="仿宋" w:eastAsia="仿宋"/>
                <w:szCs w:val="32"/>
              </w:rPr>
            </w:pPr>
            <w:r>
              <w:rPr>
                <w:rFonts w:ascii="仿宋" w:hAnsi="仿宋" w:eastAsia="仿宋"/>
                <w:szCs w:val="32"/>
              </w:rPr>
              <w:t>宁波市大榭国际招商码头新卡口</w:t>
            </w:r>
          </w:p>
        </w:tc>
        <w:tc>
          <w:tcPr>
            <w:tcW w:w="1707" w:type="dxa"/>
          </w:tcPr>
          <w:p>
            <w:pPr>
              <w:rPr>
                <w:rFonts w:ascii="仿宋" w:hAnsi="仿宋" w:eastAsia="仿宋"/>
                <w:szCs w:val="32"/>
              </w:rPr>
            </w:pPr>
            <w:r>
              <w:rPr>
                <w:rFonts w:hint="eastAsia" w:ascii="仿宋" w:hAnsi="仿宋" w:eastAsia="仿宋"/>
                <w:szCs w:val="32"/>
              </w:rPr>
              <w:t>宁波港区通行证</w:t>
            </w:r>
          </w:p>
        </w:tc>
        <w:tc>
          <w:tcPr>
            <w:tcW w:w="1701" w:type="dxa"/>
          </w:tcPr>
          <w:p>
            <w:pPr>
              <w:rPr>
                <w:rFonts w:ascii="仿宋" w:hAnsi="仿宋" w:eastAsia="仿宋"/>
                <w:sz w:val="32"/>
                <w:szCs w:val="32"/>
              </w:rPr>
            </w:pPr>
            <w:r>
              <w:rPr>
                <w:rFonts w:hint="eastAsia" w:ascii="仿宋" w:hAnsi="仿宋" w:eastAsia="仿宋"/>
                <w:szCs w:val="32"/>
              </w:rPr>
              <w:t>相应港区的码头公司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浙江省宁波市北仑区集翔路加气站</w:t>
            </w:r>
          </w:p>
        </w:tc>
        <w:tc>
          <w:tcPr>
            <w:tcW w:w="2167" w:type="dxa"/>
          </w:tcPr>
          <w:p>
            <w:pPr>
              <w:rPr>
                <w:rFonts w:ascii="仿宋" w:hAnsi="仿宋" w:eastAsia="仿宋"/>
                <w:szCs w:val="32"/>
              </w:rPr>
            </w:pPr>
            <w:r>
              <w:rPr>
                <w:rFonts w:ascii="仿宋" w:hAnsi="仿宋" w:eastAsia="仿宋"/>
                <w:szCs w:val="32"/>
              </w:rPr>
              <w:t>宁波市北仑区白峰镇集翔8号</w:t>
            </w:r>
          </w:p>
        </w:tc>
        <w:tc>
          <w:tcPr>
            <w:tcW w:w="1707" w:type="dxa"/>
          </w:tcPr>
          <w:p>
            <w:pPr>
              <w:rPr>
                <w:rFonts w:ascii="仿宋" w:hAnsi="仿宋" w:eastAsia="仿宋"/>
                <w:szCs w:val="32"/>
              </w:rPr>
            </w:pPr>
            <w:r>
              <w:rPr>
                <w:rFonts w:hint="eastAsia" w:ascii="仿宋" w:hAnsi="仿宋" w:eastAsia="仿宋"/>
                <w:szCs w:val="32"/>
              </w:rPr>
              <w:t>宁波港区通行证</w:t>
            </w:r>
          </w:p>
        </w:tc>
        <w:tc>
          <w:tcPr>
            <w:tcW w:w="1701" w:type="dxa"/>
          </w:tcPr>
          <w:p>
            <w:pPr>
              <w:rPr>
                <w:rFonts w:ascii="仿宋" w:hAnsi="仿宋" w:eastAsia="仿宋"/>
                <w:sz w:val="32"/>
                <w:szCs w:val="32"/>
              </w:rPr>
            </w:pPr>
            <w:r>
              <w:rPr>
                <w:rFonts w:hint="eastAsia" w:ascii="仿宋" w:hAnsi="仿宋" w:eastAsia="仿宋"/>
                <w:szCs w:val="32"/>
              </w:rPr>
              <w:t>相应港区的码头公司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32"/>
              </w:rPr>
            </w:pPr>
            <w:r>
              <w:rPr>
                <w:rFonts w:hint="eastAsia" w:ascii="仿宋" w:hAnsi="仿宋" w:eastAsia="仿宋"/>
                <w:szCs w:val="32"/>
              </w:rPr>
              <w:t>浙江省宁波市北仑区二期码头加气站</w:t>
            </w:r>
          </w:p>
        </w:tc>
        <w:tc>
          <w:tcPr>
            <w:tcW w:w="2167" w:type="dxa"/>
          </w:tcPr>
          <w:p>
            <w:pPr>
              <w:rPr>
                <w:rFonts w:ascii="仿宋" w:hAnsi="仿宋" w:eastAsia="仿宋"/>
                <w:szCs w:val="32"/>
              </w:rPr>
            </w:pPr>
            <w:r>
              <w:rPr>
                <w:rFonts w:ascii="仿宋" w:hAnsi="仿宋" w:eastAsia="仿宋"/>
                <w:szCs w:val="32"/>
              </w:rPr>
              <w:t>宁波市北仑区宁波港集团二期港区内</w:t>
            </w:r>
          </w:p>
        </w:tc>
        <w:tc>
          <w:tcPr>
            <w:tcW w:w="1707" w:type="dxa"/>
          </w:tcPr>
          <w:p>
            <w:pPr>
              <w:rPr>
                <w:rFonts w:ascii="仿宋" w:hAnsi="仿宋" w:eastAsia="仿宋"/>
                <w:szCs w:val="32"/>
              </w:rPr>
            </w:pPr>
            <w:r>
              <w:rPr>
                <w:rFonts w:hint="eastAsia" w:ascii="仿宋" w:hAnsi="仿宋" w:eastAsia="仿宋"/>
                <w:szCs w:val="32"/>
              </w:rPr>
              <w:t>宁波港区通行证</w:t>
            </w:r>
          </w:p>
        </w:tc>
        <w:tc>
          <w:tcPr>
            <w:tcW w:w="1701" w:type="dxa"/>
          </w:tcPr>
          <w:p>
            <w:pPr>
              <w:rPr>
                <w:rFonts w:ascii="仿宋" w:hAnsi="仿宋" w:eastAsia="仿宋"/>
                <w:sz w:val="32"/>
                <w:szCs w:val="32"/>
              </w:rPr>
            </w:pPr>
            <w:r>
              <w:rPr>
                <w:rFonts w:hint="eastAsia" w:ascii="仿宋" w:hAnsi="仿宋" w:eastAsia="仿宋"/>
                <w:szCs w:val="32"/>
              </w:rPr>
              <w:t>相应港区的码头公司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rPr>
                <w:rFonts w:ascii="仿宋" w:hAnsi="仿宋" w:eastAsia="仿宋"/>
                <w:szCs w:val="22"/>
                <w:highlight w:val="none"/>
              </w:rPr>
            </w:pPr>
            <w:r>
              <w:rPr>
                <w:rFonts w:hint="eastAsia" w:ascii="仿宋" w:hAnsi="仿宋" w:eastAsia="仿宋"/>
                <w:szCs w:val="32"/>
                <w:highlight w:val="none"/>
              </w:rPr>
              <w:t>浙江省宁波市北仑区</w:t>
            </w:r>
            <w:r>
              <w:rPr>
                <w:rFonts w:hint="eastAsia" w:ascii="仿宋" w:hAnsi="仿宋" w:eastAsia="仿宋"/>
                <w:szCs w:val="32"/>
                <w:highlight w:val="none"/>
                <w:lang w:val="en-US" w:eastAsia="zh-CN"/>
              </w:rPr>
              <w:t>梅山港区</w:t>
            </w:r>
            <w:r>
              <w:rPr>
                <w:rFonts w:hint="eastAsia" w:ascii="仿宋" w:hAnsi="仿宋" w:eastAsia="仿宋"/>
                <w:szCs w:val="32"/>
                <w:highlight w:val="none"/>
              </w:rPr>
              <w:t>加气站</w:t>
            </w:r>
          </w:p>
        </w:tc>
        <w:tc>
          <w:tcPr>
            <w:tcW w:w="2167" w:type="dxa"/>
          </w:tcPr>
          <w:p>
            <w:pPr>
              <w:rPr>
                <w:rFonts w:ascii="仿宋" w:hAnsi="仿宋" w:eastAsia="仿宋"/>
                <w:szCs w:val="22"/>
                <w:highlight w:val="none"/>
              </w:rPr>
            </w:pPr>
            <w:r>
              <w:rPr>
                <w:rFonts w:ascii="仿宋" w:hAnsi="仿宋" w:eastAsia="仿宋"/>
                <w:szCs w:val="32"/>
                <w:highlight w:val="none"/>
              </w:rPr>
              <w:t>宁波市</w:t>
            </w:r>
            <w:r>
              <w:rPr>
                <w:rFonts w:hint="eastAsia" w:ascii="仿宋" w:hAnsi="仿宋" w:eastAsia="仿宋"/>
                <w:szCs w:val="32"/>
                <w:highlight w:val="none"/>
              </w:rPr>
              <w:t>北仑区梅山港区2-0场（停车场内）</w:t>
            </w:r>
          </w:p>
        </w:tc>
        <w:tc>
          <w:tcPr>
            <w:tcW w:w="1707" w:type="dxa"/>
          </w:tcPr>
          <w:p>
            <w:pPr>
              <w:rPr>
                <w:rFonts w:ascii="仿宋" w:hAnsi="仿宋" w:eastAsia="仿宋"/>
                <w:szCs w:val="22"/>
                <w:highlight w:val="none"/>
              </w:rPr>
            </w:pPr>
            <w:r>
              <w:rPr>
                <w:rFonts w:hint="eastAsia" w:ascii="仿宋" w:hAnsi="仿宋" w:eastAsia="仿宋"/>
                <w:szCs w:val="32"/>
                <w:highlight w:val="none"/>
              </w:rPr>
              <w:t>宁波港区通行证</w:t>
            </w:r>
          </w:p>
        </w:tc>
        <w:tc>
          <w:tcPr>
            <w:tcW w:w="1701" w:type="dxa"/>
          </w:tcPr>
          <w:p>
            <w:pPr>
              <w:rPr>
                <w:rFonts w:ascii="仿宋" w:hAnsi="仿宋" w:eastAsia="仿宋"/>
                <w:sz w:val="32"/>
                <w:szCs w:val="22"/>
                <w:highlight w:val="none"/>
              </w:rPr>
            </w:pPr>
            <w:r>
              <w:rPr>
                <w:rFonts w:hint="eastAsia" w:ascii="仿宋" w:hAnsi="仿宋" w:eastAsia="仿宋"/>
                <w:szCs w:val="32"/>
                <w:highlight w:val="none"/>
              </w:rPr>
              <w:t>相应港区的码头公司</w:t>
            </w:r>
          </w:p>
        </w:tc>
      </w:tr>
    </w:tbl>
    <w:p>
      <w:pPr>
        <w:tabs>
          <w:tab w:val="left" w:pos="0"/>
          <w:tab w:val="left" w:pos="7665"/>
        </w:tabs>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 有关特殊费率的执行标准：</w:t>
      </w:r>
    </w:p>
    <w:p>
      <w:pPr>
        <w:tabs>
          <w:tab w:val="left" w:pos="0"/>
          <w:tab w:val="left" w:pos="7665"/>
        </w:tabs>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本期（</w:t>
      </w:r>
      <w:r>
        <w:rPr>
          <w:rFonts w:hint="eastAsia" w:ascii="仿宋_GB2312" w:hAnsi="仿宋_GB2312" w:eastAsia="仿宋_GB2312" w:cs="仿宋_GB2312"/>
          <w:sz w:val="32"/>
          <w:highlight w:val="none"/>
          <w:lang w:val="en-US" w:eastAsia="zh-CN"/>
        </w:rPr>
        <w:t>7</w:t>
      </w:r>
      <w:r>
        <w:rPr>
          <w:rFonts w:hint="eastAsia" w:ascii="仿宋_GB2312" w:hAnsi="仿宋_GB2312" w:eastAsia="仿宋_GB2312" w:cs="仿宋_GB2312"/>
          <w:sz w:val="32"/>
          <w:highlight w:val="none"/>
        </w:rPr>
        <w:t>月1日-</w:t>
      </w:r>
      <w:r>
        <w:rPr>
          <w:rFonts w:hint="eastAsia" w:ascii="仿宋_GB2312" w:hAnsi="仿宋_GB2312" w:eastAsia="仿宋_GB2312" w:cs="仿宋_GB2312"/>
          <w:sz w:val="32"/>
          <w:highlight w:val="none"/>
          <w:lang w:val="en-US" w:eastAsia="zh-CN"/>
        </w:rPr>
        <w:t>9</w:t>
      </w:r>
      <w:r>
        <w:rPr>
          <w:rFonts w:hint="eastAsia" w:ascii="仿宋_GB2312" w:hAnsi="仿宋_GB2312" w:eastAsia="仿宋_GB2312" w:cs="仿宋_GB2312"/>
          <w:sz w:val="32"/>
          <w:highlight w:val="none"/>
        </w:rPr>
        <w:t>月</w:t>
      </w:r>
      <w:r>
        <w:rPr>
          <w:rFonts w:hint="eastAsia" w:ascii="仿宋_GB2312" w:hAnsi="仿宋_GB2312" w:eastAsia="仿宋_GB2312" w:cs="仿宋_GB2312"/>
          <w:sz w:val="32"/>
          <w:highlight w:val="none"/>
          <w:lang w:val="en-US" w:eastAsia="zh-CN"/>
        </w:rPr>
        <w:t>30</w:t>
      </w:r>
      <w:r>
        <w:rPr>
          <w:rFonts w:hint="eastAsia" w:ascii="仿宋_GB2312" w:hAnsi="仿宋_GB2312" w:eastAsia="仿宋_GB2312" w:cs="仿宋_GB2312"/>
          <w:sz w:val="32"/>
          <w:highlight w:val="none"/>
        </w:rPr>
        <w:t>日）特殊费率执行标准如下：</w:t>
      </w:r>
    </w:p>
    <w:p>
      <w:pPr>
        <w:tabs>
          <w:tab w:val="left" w:pos="0"/>
          <w:tab w:val="left" w:pos="7665"/>
        </w:tabs>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（1）分卸费：分卸距离0-20公里（不足20公里按照20公里算），按照</w:t>
      </w:r>
      <w:r>
        <w:rPr>
          <w:rFonts w:hint="eastAsia" w:ascii="仿宋_GB2312" w:hAnsi="仿宋_GB2312" w:eastAsia="仿宋_GB2312" w:cs="仿宋_GB2312"/>
          <w:sz w:val="32"/>
          <w:highlight w:val="none"/>
          <w:lang w:val="en-US" w:eastAsia="zh-CN"/>
        </w:rPr>
        <w:t>370</w:t>
      </w:r>
      <w:r>
        <w:rPr>
          <w:rFonts w:hint="eastAsia" w:ascii="仿宋_GB2312" w:hAnsi="仿宋_GB2312" w:eastAsia="仿宋_GB2312" w:cs="仿宋_GB2312"/>
          <w:sz w:val="32"/>
          <w:highlight w:val="none"/>
        </w:rPr>
        <w:t>元/车支付；分卸距离20公里以上，按照</w:t>
      </w:r>
      <w:r>
        <w:rPr>
          <w:rFonts w:hint="eastAsia" w:ascii="仿宋_GB2312" w:hAnsi="仿宋_GB2312" w:eastAsia="仿宋_GB2312" w:cs="仿宋_GB2312"/>
          <w:sz w:val="32"/>
          <w:highlight w:val="none"/>
          <w:lang w:val="en-US" w:eastAsia="zh-CN"/>
        </w:rPr>
        <w:t>565</w:t>
      </w:r>
      <w:r>
        <w:rPr>
          <w:rFonts w:hint="eastAsia" w:ascii="仿宋_GB2312" w:hAnsi="仿宋_GB2312" w:eastAsia="仿宋_GB2312" w:cs="仿宋_GB2312"/>
          <w:sz w:val="32"/>
          <w:highlight w:val="none"/>
        </w:rPr>
        <w:t>元/车支付（分卸点运输距离以实际卸货地到分卸点为准）。</w:t>
      </w:r>
    </w:p>
    <w:p>
      <w:pPr>
        <w:tabs>
          <w:tab w:val="left" w:pos="0"/>
          <w:tab w:val="left" w:pos="7665"/>
        </w:tabs>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（2）压车费：等待卸车12小时内免费，自第13小时起每小时</w:t>
      </w:r>
      <w:r>
        <w:rPr>
          <w:rFonts w:hint="eastAsia" w:ascii="仿宋_GB2312" w:hAnsi="仿宋_GB2312" w:eastAsia="仿宋_GB2312" w:cs="仿宋_GB2312"/>
          <w:sz w:val="32"/>
          <w:highlight w:val="none"/>
          <w:lang w:val="en-US" w:eastAsia="zh-CN"/>
        </w:rPr>
        <w:t>130</w:t>
      </w:r>
      <w:r>
        <w:rPr>
          <w:rFonts w:hint="eastAsia" w:ascii="仿宋_GB2312" w:hAnsi="仿宋_GB2312" w:eastAsia="仿宋_GB2312" w:cs="仿宋_GB2312"/>
          <w:sz w:val="32"/>
          <w:highlight w:val="none"/>
        </w:rPr>
        <w:t>元压车费（取计划到站时间与GPS实际到站时间两者中较晚者作为压车费结算依据，不足一小时按一小时计）。</w:t>
      </w:r>
    </w:p>
    <w:p>
      <w:pPr>
        <w:tabs>
          <w:tab w:val="left" w:pos="0"/>
          <w:tab w:val="left" w:pos="7665"/>
        </w:tabs>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（3）过桥费：如需走杭州湾跨海大桥，需额外支付过桥费用500元/车。</w:t>
      </w:r>
    </w:p>
    <w:p>
      <w:pPr>
        <w:tabs>
          <w:tab w:val="left" w:pos="0"/>
          <w:tab w:val="left" w:pos="7665"/>
        </w:tabs>
        <w:spacing w:line="560" w:lineRule="exact"/>
        <w:ind w:firstLine="640" w:firstLineChars="200"/>
        <w:rPr>
          <w:rFonts w:hint="eastAsia" w:ascii="仿宋_GB2312" w:hAnsi="仿宋_GB2312" w:eastAsia="仿宋_GB2312" w:cs="仿宋_GB2312"/>
          <w:sz w:val="32"/>
        </w:rPr>
      </w:pP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如有疑问，可拨打以下电话咨询：</w:t>
      </w: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交易相关事宜：021-68823009 LNG交易部；</w:t>
      </w: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会员注册相关事宜：021-68822320会员服务部；</w:t>
      </w: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银行签约及出入金：021-68822372 资金结算部；</w:t>
      </w: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或咨询中国海油天然气销售运营管理中心：956067转2转1。</w:t>
      </w:r>
    </w:p>
    <w:p>
      <w:pPr>
        <w:tabs>
          <w:tab w:val="left" w:pos="0"/>
          <w:tab w:val="left" w:pos="7665"/>
        </w:tabs>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本次竞价活动本着公平、公正、公开原则，本次活动解释权归中海石油气电集团有限责任公司浙江分公司所有。</w:t>
      </w:r>
    </w:p>
    <w:p>
      <w:pPr>
        <w:tabs>
          <w:tab w:val="left" w:pos="0"/>
          <w:tab w:val="left" w:pos="7665"/>
        </w:tabs>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附件：1．LNG运力交易报名单</w:t>
      </w:r>
    </w:p>
    <w:p>
      <w:pPr>
        <w:tabs>
          <w:tab w:val="left" w:pos="0"/>
          <w:tab w:val="left" w:pos="7665"/>
        </w:tabs>
        <w:spacing w:line="56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2．基础运力确认函</w:t>
      </w:r>
    </w:p>
    <w:p>
      <w:pPr>
        <w:tabs>
          <w:tab w:val="left" w:pos="0"/>
          <w:tab w:val="left" w:pos="7665"/>
        </w:tabs>
        <w:spacing w:line="560" w:lineRule="exact"/>
        <w:rPr>
          <w:rFonts w:ascii="仿宋" w:hAnsi="仿宋" w:eastAsia="仿宋"/>
          <w:sz w:val="32"/>
        </w:rPr>
      </w:pPr>
    </w:p>
    <w:p>
      <w:pPr>
        <w:tabs>
          <w:tab w:val="left" w:pos="0"/>
          <w:tab w:val="left" w:pos="7665"/>
        </w:tabs>
        <w:spacing w:line="560" w:lineRule="exact"/>
        <w:rPr>
          <w:rFonts w:ascii="仿宋" w:hAnsi="仿宋" w:eastAsia="仿宋"/>
          <w:sz w:val="32"/>
        </w:rPr>
      </w:pPr>
    </w:p>
    <w:p>
      <w:pPr>
        <w:tabs>
          <w:tab w:val="left" w:pos="0"/>
          <w:tab w:val="left" w:pos="7665"/>
        </w:tabs>
        <w:spacing w:line="560" w:lineRule="exact"/>
        <w:rPr>
          <w:rFonts w:ascii="仿宋" w:hAnsi="仿宋" w:eastAsia="仿宋"/>
          <w:sz w:val="32"/>
        </w:rPr>
      </w:pPr>
    </w:p>
    <w:p>
      <w:pPr>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中海石油气电集团有限责任公司浙江分公司</w:t>
      </w:r>
    </w:p>
    <w:p>
      <w:pPr>
        <w:tabs>
          <w:tab w:val="left" w:pos="0"/>
          <w:tab w:val="left" w:pos="7665"/>
        </w:tabs>
        <w:spacing w:line="560" w:lineRule="exact"/>
        <w:jc w:val="right"/>
        <w:rPr>
          <w:rFonts w:ascii="仿宋" w:hAnsi="仿宋" w:eastAsia="仿宋"/>
          <w:sz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2024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26</w:t>
      </w:r>
      <w:r>
        <w:rPr>
          <w:rFonts w:hint="eastAsia" w:ascii="仿宋_GB2312" w:hAnsi="仿宋" w:eastAsia="仿宋_GB2312"/>
          <w:sz w:val="32"/>
          <w:szCs w:val="32"/>
          <w:highlight w:val="none"/>
        </w:rPr>
        <w:t>日</w:t>
      </w:r>
    </w:p>
    <w:p>
      <w:pPr>
        <w:tabs>
          <w:tab w:val="left" w:pos="0"/>
          <w:tab w:val="left" w:pos="7665"/>
        </w:tabs>
        <w:spacing w:line="560" w:lineRule="exact"/>
        <w:rPr>
          <w:rFonts w:ascii="仿宋" w:hAnsi="仿宋" w:eastAsia="仿宋"/>
          <w:sz w:val="32"/>
        </w:rPr>
      </w:pPr>
    </w:p>
    <w:p>
      <w:pPr>
        <w:tabs>
          <w:tab w:val="left" w:pos="0"/>
          <w:tab w:val="left" w:pos="7665"/>
        </w:tabs>
        <w:spacing w:line="560" w:lineRule="exact"/>
        <w:rPr>
          <w:rFonts w:ascii="仿宋" w:hAnsi="仿宋" w:eastAsia="仿宋"/>
          <w:sz w:val="32"/>
        </w:rPr>
      </w:pPr>
    </w:p>
    <w:p>
      <w:pPr>
        <w:tabs>
          <w:tab w:val="left" w:pos="0"/>
          <w:tab w:val="left" w:pos="7665"/>
        </w:tabs>
        <w:spacing w:line="560" w:lineRule="exact"/>
        <w:rPr>
          <w:rFonts w:ascii="仿宋" w:hAnsi="仿宋" w:eastAsia="仿宋"/>
          <w:sz w:val="32"/>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autoSpaceDE w:val="0"/>
        <w:autoSpaceDN w:val="0"/>
        <w:adjustRightInd w:val="0"/>
        <w:spacing w:line="560" w:lineRule="exact"/>
        <w:ind w:firstLine="7140" w:firstLineChars="2550"/>
        <w:rPr>
          <w:rFonts w:ascii="仿宋_GB2312" w:hAnsi="仿宋" w:eastAsia="仿宋_GB2312"/>
          <w:sz w:val="28"/>
          <w:szCs w:val="28"/>
        </w:rPr>
      </w:pPr>
    </w:p>
    <w:p>
      <w:pPr>
        <w:spacing w:line="600" w:lineRule="exact"/>
        <w:jc w:val="left"/>
        <w:rPr>
          <w:rFonts w:hint="eastAsia" w:ascii="黑体" w:hAnsi="黑体" w:eastAsia="黑体"/>
          <w:b/>
          <w:sz w:val="24"/>
          <w:szCs w:val="24"/>
        </w:rPr>
      </w:pPr>
    </w:p>
    <w:p>
      <w:pPr>
        <w:widowControl/>
        <w:jc w:val="left"/>
        <w:rPr>
          <w:rFonts w:hint="eastAsia" w:ascii="黑体" w:hAnsi="黑体" w:eastAsia="黑体"/>
          <w:b/>
          <w:sz w:val="24"/>
          <w:szCs w:val="24"/>
        </w:rPr>
      </w:pPr>
    </w:p>
    <w:p>
      <w:pPr>
        <w:widowControl/>
        <w:jc w:val="left"/>
        <w:rPr>
          <w:rFonts w:hint="eastAsia" w:ascii="黑体" w:hAnsi="黑体" w:eastAsia="黑体"/>
          <w:b/>
          <w:sz w:val="24"/>
          <w:szCs w:val="24"/>
          <w:lang w:val="en-US" w:eastAsia="zh-CN"/>
        </w:rPr>
      </w:pPr>
      <w:r>
        <w:rPr>
          <w:rFonts w:hint="eastAsia" w:ascii="黑体" w:hAnsi="黑体" w:eastAsia="黑体"/>
          <w:b/>
          <w:sz w:val="24"/>
          <w:szCs w:val="24"/>
        </w:rPr>
        <w:t>附件</w:t>
      </w:r>
      <w:r>
        <w:rPr>
          <w:rFonts w:hint="eastAsia" w:ascii="黑体" w:hAnsi="黑体" w:eastAsia="黑体"/>
          <w:b/>
          <w:sz w:val="24"/>
          <w:szCs w:val="24"/>
          <w:lang w:val="en-US" w:eastAsia="zh-CN"/>
        </w:rPr>
        <w:t>1</w:t>
      </w:r>
    </w:p>
    <w:p>
      <w:pPr>
        <w:spacing w:line="600" w:lineRule="exact"/>
        <w:jc w:val="center"/>
        <w:rPr>
          <w:rFonts w:ascii="仿宋" w:hAnsi="仿宋" w:eastAsia="仿宋"/>
          <w:b/>
          <w:sz w:val="44"/>
          <w:szCs w:val="44"/>
        </w:rPr>
      </w:pPr>
      <w:r>
        <w:rPr>
          <w:rFonts w:hint="eastAsia" w:ascii="方正小标宋简体" w:hAnsi="黑体" w:eastAsia="方正小标宋简体"/>
          <w:sz w:val="44"/>
          <w:szCs w:val="44"/>
        </w:rPr>
        <w:t>L</w:t>
      </w:r>
      <w:r>
        <w:rPr>
          <w:rFonts w:ascii="方正小标宋简体" w:hAnsi="黑体" w:eastAsia="方正小标宋简体"/>
          <w:sz w:val="44"/>
          <w:szCs w:val="44"/>
        </w:rPr>
        <w:t>NG运力交易报名单</w:t>
      </w:r>
    </w:p>
    <w:p>
      <w:pPr>
        <w:spacing w:before="240"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我公司已阅读并了解上海石油天然气交易中心发布的交易规则、公告以及中海石油气电集团有限责任公司浙江分公司L</w:t>
      </w:r>
      <w:r>
        <w:rPr>
          <w:rFonts w:ascii="仿宋" w:hAnsi="仿宋" w:eastAsia="仿宋" w:cs="宋体"/>
          <w:bCs/>
          <w:sz w:val="32"/>
          <w:szCs w:val="32"/>
        </w:rPr>
        <w:t>NG</w:t>
      </w:r>
      <w:r>
        <w:rPr>
          <w:rFonts w:hint="eastAsia" w:ascii="仿宋" w:hAnsi="仿宋" w:eastAsia="仿宋" w:cs="宋体"/>
          <w:bCs/>
          <w:sz w:val="32"/>
          <w:szCs w:val="32"/>
        </w:rPr>
        <w:t>运力交易相关政策。</w:t>
      </w:r>
    </w:p>
    <w:p>
      <w:pPr>
        <w:spacing w:line="600" w:lineRule="exact"/>
        <w:ind w:firstLine="640" w:firstLineChars="200"/>
        <w:rPr>
          <w:rFonts w:ascii="仿宋" w:hAnsi="仿宋" w:eastAsia="仿宋" w:cs="宋体"/>
          <w:bCs/>
          <w:sz w:val="32"/>
          <w:szCs w:val="32"/>
        </w:rPr>
      </w:pPr>
      <w:r>
        <w:rPr>
          <w:rFonts w:ascii="仿宋" w:hAnsi="仿宋" w:eastAsia="仿宋" w:cs="宋体"/>
          <w:bCs/>
          <w:sz w:val="32"/>
          <w:szCs w:val="32"/>
        </w:rPr>
        <w:t>我公司同意</w:t>
      </w:r>
      <w:r>
        <w:rPr>
          <w:rFonts w:hint="eastAsia" w:ascii="仿宋" w:hAnsi="仿宋" w:eastAsia="仿宋" w:cs="宋体"/>
          <w:bCs/>
          <w:sz w:val="32"/>
          <w:szCs w:val="32"/>
        </w:rPr>
        <w:t>一次性冻结交易保证金5</w:t>
      </w:r>
      <w:r>
        <w:rPr>
          <w:rFonts w:ascii="仿宋" w:hAnsi="仿宋" w:eastAsia="仿宋" w:cs="宋体"/>
          <w:bCs/>
          <w:sz w:val="32"/>
          <w:szCs w:val="32"/>
        </w:rPr>
        <w:t>0000</w:t>
      </w:r>
      <w:r>
        <w:rPr>
          <w:rFonts w:hint="eastAsia" w:ascii="仿宋" w:hAnsi="仿宋" w:eastAsia="仿宋" w:cs="宋体"/>
          <w:bCs/>
          <w:sz w:val="32"/>
          <w:szCs w:val="32"/>
        </w:rPr>
        <w:t>元（大写：伍万元整）。</w:t>
      </w:r>
    </w:p>
    <w:p>
      <w:pPr>
        <w:spacing w:line="600" w:lineRule="exact"/>
        <w:ind w:firstLine="640" w:firstLineChars="200"/>
        <w:rPr>
          <w:rFonts w:ascii="仿宋" w:hAnsi="仿宋" w:eastAsia="仿宋" w:cs="宋体"/>
          <w:bCs/>
          <w:sz w:val="32"/>
          <w:szCs w:val="32"/>
        </w:rPr>
      </w:pPr>
    </w:p>
    <w:p>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联络人：X</w:t>
      </w:r>
      <w:r>
        <w:rPr>
          <w:rFonts w:ascii="仿宋" w:hAnsi="仿宋" w:eastAsia="仿宋" w:cs="宋体"/>
          <w:bCs/>
          <w:sz w:val="32"/>
          <w:szCs w:val="32"/>
        </w:rPr>
        <w:t>XX</w:t>
      </w:r>
    </w:p>
    <w:p>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联系电话：X</w:t>
      </w:r>
      <w:r>
        <w:rPr>
          <w:rFonts w:ascii="仿宋" w:hAnsi="仿宋" w:eastAsia="仿宋" w:cs="宋体"/>
          <w:bCs/>
          <w:sz w:val="32"/>
          <w:szCs w:val="32"/>
        </w:rPr>
        <w:t>XX</w:t>
      </w:r>
    </w:p>
    <w:p>
      <w:pPr>
        <w:spacing w:line="600" w:lineRule="exact"/>
        <w:ind w:firstLine="640" w:firstLineChars="200"/>
        <w:rPr>
          <w:rFonts w:ascii="仿宋" w:hAnsi="仿宋" w:eastAsia="仿宋" w:cs="宋体"/>
          <w:bCs/>
          <w:sz w:val="32"/>
          <w:szCs w:val="32"/>
        </w:rPr>
      </w:pPr>
    </w:p>
    <w:p>
      <w:pPr>
        <w:spacing w:line="600" w:lineRule="exact"/>
        <w:ind w:firstLine="640" w:firstLineChars="200"/>
        <w:rPr>
          <w:rFonts w:ascii="仿宋" w:hAnsi="仿宋" w:eastAsia="仿宋" w:cs="宋体"/>
          <w:bCs/>
          <w:sz w:val="32"/>
          <w:szCs w:val="32"/>
        </w:rPr>
      </w:pPr>
    </w:p>
    <w:p>
      <w:pPr>
        <w:spacing w:line="600" w:lineRule="exact"/>
        <w:ind w:firstLine="640" w:firstLineChars="200"/>
        <w:rPr>
          <w:rFonts w:ascii="仿宋" w:hAnsi="仿宋" w:eastAsia="仿宋" w:cs="宋体"/>
          <w:bCs/>
          <w:sz w:val="32"/>
          <w:szCs w:val="32"/>
        </w:rPr>
      </w:pPr>
    </w:p>
    <w:p>
      <w:pPr>
        <w:spacing w:line="600" w:lineRule="exact"/>
        <w:ind w:right="640" w:firstLine="640" w:firstLineChars="200"/>
        <w:jc w:val="right"/>
        <w:rPr>
          <w:rFonts w:ascii="仿宋" w:hAnsi="仿宋" w:eastAsia="仿宋" w:cs="宋体"/>
          <w:bCs/>
          <w:sz w:val="32"/>
          <w:szCs w:val="32"/>
        </w:rPr>
      </w:pPr>
      <w:r>
        <w:rPr>
          <w:rFonts w:hint="eastAsia" w:ascii="仿宋" w:hAnsi="仿宋" w:eastAsia="仿宋" w:cs="宋体"/>
          <w:bCs/>
          <w:sz w:val="32"/>
          <w:szCs w:val="32"/>
        </w:rPr>
        <w:t>公司名（加盖公章）</w:t>
      </w:r>
    </w:p>
    <w:p>
      <w:pPr>
        <w:spacing w:line="600" w:lineRule="exact"/>
        <w:ind w:right="960" w:firstLine="640" w:firstLineChars="200"/>
        <w:jc w:val="right"/>
        <w:rPr>
          <w:rFonts w:ascii="仿宋" w:hAnsi="仿宋" w:eastAsia="仿宋" w:cs="宋体"/>
          <w:bCs/>
          <w:sz w:val="32"/>
          <w:szCs w:val="32"/>
        </w:rPr>
      </w:pPr>
      <w:r>
        <w:rPr>
          <w:rFonts w:hint="eastAsia" w:ascii="仿宋" w:hAnsi="仿宋" w:eastAsia="仿宋" w:cs="宋体"/>
          <w:bCs/>
          <w:sz w:val="32"/>
          <w:szCs w:val="32"/>
        </w:rPr>
        <w:t>202</w:t>
      </w:r>
      <w:r>
        <w:rPr>
          <w:rFonts w:hint="eastAsia" w:ascii="仿宋" w:hAnsi="仿宋" w:eastAsia="仿宋" w:cs="宋体"/>
          <w:bCs/>
          <w:sz w:val="32"/>
          <w:szCs w:val="32"/>
          <w:lang w:val="en-US" w:eastAsia="zh-CN"/>
        </w:rPr>
        <w:t>4</w:t>
      </w:r>
      <w:r>
        <w:rPr>
          <w:rFonts w:hint="eastAsia" w:ascii="仿宋" w:hAnsi="仿宋" w:eastAsia="仿宋" w:cs="宋体"/>
          <w:bCs/>
          <w:sz w:val="32"/>
          <w:szCs w:val="32"/>
        </w:rPr>
        <w:t>年X</w:t>
      </w:r>
      <w:r>
        <w:rPr>
          <w:rFonts w:ascii="仿宋" w:hAnsi="仿宋" w:eastAsia="仿宋" w:cs="宋体"/>
          <w:bCs/>
          <w:sz w:val="32"/>
          <w:szCs w:val="32"/>
        </w:rPr>
        <w:t>X</w:t>
      </w:r>
      <w:r>
        <w:rPr>
          <w:rFonts w:hint="eastAsia" w:ascii="仿宋" w:hAnsi="仿宋" w:eastAsia="仿宋" w:cs="宋体"/>
          <w:bCs/>
          <w:sz w:val="32"/>
          <w:szCs w:val="32"/>
        </w:rPr>
        <w:t>月</w:t>
      </w:r>
      <w:r>
        <w:rPr>
          <w:rFonts w:ascii="仿宋" w:hAnsi="仿宋" w:eastAsia="仿宋" w:cs="宋体"/>
          <w:bCs/>
          <w:sz w:val="32"/>
          <w:szCs w:val="32"/>
        </w:rPr>
        <w:t>XX</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widowControl/>
        <w:jc w:val="left"/>
        <w:rPr>
          <w:rFonts w:ascii="黑体" w:hAnsi="宋体" w:eastAsia="黑体" w:cs="黑体"/>
          <w:b/>
          <w:bCs/>
          <w:color w:val="000000"/>
          <w:kern w:val="0"/>
          <w:sz w:val="36"/>
          <w:szCs w:val="36"/>
          <w:lang w:bidi="ar"/>
        </w:rPr>
      </w:pPr>
      <w:r>
        <w:rPr>
          <w:rFonts w:ascii="仿宋" w:hAnsi="仿宋" w:eastAsia="仿宋"/>
          <w:sz w:val="32"/>
          <w:szCs w:val="32"/>
        </w:rPr>
        <w:br w:type="page"/>
      </w:r>
      <w:r>
        <w:rPr>
          <w:rFonts w:hint="eastAsia" w:ascii="黑体" w:hAnsi="黑体" w:eastAsia="黑体"/>
          <w:b/>
          <w:sz w:val="24"/>
          <w:szCs w:val="24"/>
        </w:rPr>
        <w:t>附件2</w:t>
      </w:r>
    </w:p>
    <w:p>
      <w:pPr>
        <w:widowControl/>
        <w:jc w:val="center"/>
      </w:pPr>
      <w:r>
        <w:rPr>
          <w:rFonts w:ascii="黑体" w:hAnsi="宋体" w:eastAsia="黑体" w:cs="黑体"/>
          <w:b/>
          <w:bCs/>
          <w:color w:val="000000"/>
          <w:kern w:val="0"/>
          <w:sz w:val="36"/>
          <w:szCs w:val="36"/>
          <w:lang w:bidi="ar"/>
        </w:rPr>
        <w:t>基础运力确认函</w:t>
      </w:r>
    </w:p>
    <w:p>
      <w:pPr>
        <w:rPr>
          <w:rFonts w:ascii="黑体" w:hAnsi="黑体" w:eastAsia="黑体" w:cs="黑体"/>
          <w:sz w:val="24"/>
          <w:szCs w:val="32"/>
        </w:rPr>
      </w:pPr>
      <w:r>
        <w:rPr>
          <w:rFonts w:hint="eastAsia" w:ascii="黑体" w:hAnsi="黑体" w:eastAsia="黑体" w:cs="黑体"/>
          <w:sz w:val="24"/>
          <w:szCs w:val="32"/>
        </w:rPr>
        <w:t>液化天然气运输服务合同编号：</w:t>
      </w:r>
    </w:p>
    <w:p>
      <w:pPr>
        <w:rPr>
          <w:rFonts w:hint="eastAsia" w:ascii="黑体" w:hAnsi="黑体" w:eastAsia="黑体" w:cs="黑体"/>
          <w:sz w:val="24"/>
          <w:szCs w:val="32"/>
          <w:lang w:val="en-US" w:eastAsia="zh-CN"/>
        </w:rPr>
      </w:pPr>
      <w:r>
        <w:rPr>
          <w:rFonts w:hint="eastAsia" w:ascii="黑体" w:hAnsi="黑体" w:eastAsia="黑体" w:cs="黑体"/>
          <w:sz w:val="24"/>
          <w:szCs w:val="32"/>
        </w:rPr>
        <w:t xml:space="preserve">确认函编号：               </w:t>
      </w:r>
      <w:r>
        <w:rPr>
          <w:rFonts w:hint="eastAsia" w:ascii="黑体" w:hAnsi="黑体" w:eastAsia="黑体" w:cs="黑体"/>
          <w:sz w:val="24"/>
          <w:szCs w:val="32"/>
          <w:lang w:val="en-US" w:eastAsia="zh-CN"/>
        </w:rPr>
        <w:t xml:space="preserve">    </w:t>
      </w:r>
    </w:p>
    <w:p>
      <w:pPr>
        <w:rPr>
          <w:rFonts w:ascii="黑体" w:hAnsi="黑体" w:eastAsia="黑体" w:cs="黑体"/>
          <w:sz w:val="24"/>
          <w:szCs w:val="32"/>
        </w:rPr>
      </w:pPr>
      <w:r>
        <w:rPr>
          <w:rFonts w:hint="eastAsia" w:ascii="黑体" w:hAnsi="黑体" w:eastAsia="黑体" w:cs="黑体"/>
          <w:sz w:val="24"/>
          <w:szCs w:val="32"/>
        </w:rPr>
        <w:t>备注：</w:t>
      </w:r>
    </w:p>
    <w:p>
      <w:pPr>
        <w:rPr>
          <w:rFonts w:ascii="黑体" w:hAnsi="黑体" w:eastAsia="黑体" w:cs="黑体"/>
          <w:b/>
          <w:bCs/>
          <w:sz w:val="24"/>
          <w:szCs w:val="32"/>
        </w:rPr>
      </w:pPr>
    </w:p>
    <w:p>
      <w:pPr>
        <w:rPr>
          <w:rFonts w:ascii="黑体" w:hAnsi="黑体" w:eastAsia="黑体" w:cs="黑体"/>
          <w:b/>
          <w:bCs/>
          <w:sz w:val="24"/>
          <w:szCs w:val="32"/>
        </w:rPr>
      </w:pPr>
      <w:r>
        <w:rPr>
          <w:rFonts w:hint="eastAsia" w:ascii="黑体" w:hAnsi="黑体" w:eastAsia="黑体" w:cs="黑体"/>
          <w:b/>
          <w:bCs/>
          <w:sz w:val="24"/>
          <w:szCs w:val="32"/>
        </w:rPr>
        <w:t>双方</w:t>
      </w:r>
    </w:p>
    <w:p>
      <w:pPr>
        <w:rPr>
          <w:rFonts w:ascii="黑体" w:hAnsi="黑体" w:eastAsia="黑体" w:cs="黑体"/>
          <w:sz w:val="24"/>
          <w:szCs w:val="32"/>
        </w:rPr>
      </w:pPr>
      <w:r>
        <w:rPr>
          <w:rFonts w:hint="eastAsia" w:ascii="黑体" w:hAnsi="黑体" w:eastAsia="黑体" w:cs="黑体"/>
          <w:sz w:val="24"/>
          <w:szCs w:val="32"/>
        </w:rPr>
        <w:t>甲方（或称托运方）：</w:t>
      </w:r>
    </w:p>
    <w:p>
      <w:pPr>
        <w:rPr>
          <w:rFonts w:ascii="黑体" w:hAnsi="黑体" w:eastAsia="黑体" w:cs="黑体"/>
          <w:sz w:val="24"/>
          <w:szCs w:val="32"/>
        </w:rPr>
      </w:pPr>
      <w:r>
        <w:rPr>
          <w:rFonts w:hint="eastAsia" w:ascii="黑体" w:hAnsi="黑体" w:eastAsia="黑体" w:cs="黑体"/>
          <w:sz w:val="24"/>
          <w:szCs w:val="32"/>
        </w:rPr>
        <w:t>注册地址：</w:t>
      </w:r>
    </w:p>
    <w:p>
      <w:pPr>
        <w:rPr>
          <w:rFonts w:ascii="黑体" w:hAnsi="黑体" w:eastAsia="黑体" w:cs="黑体"/>
          <w:sz w:val="24"/>
          <w:szCs w:val="32"/>
        </w:rPr>
      </w:pPr>
      <w:r>
        <w:rPr>
          <w:rFonts w:hint="eastAsia" w:ascii="黑体" w:hAnsi="黑体" w:eastAsia="黑体" w:cs="黑体"/>
          <w:sz w:val="24"/>
          <w:szCs w:val="32"/>
        </w:rPr>
        <w:t>法定代表人或授权代表人：</w:t>
      </w:r>
    </w:p>
    <w:p>
      <w:pPr>
        <w:rPr>
          <w:rFonts w:ascii="黑体" w:hAnsi="黑体" w:eastAsia="黑体" w:cs="黑体"/>
          <w:sz w:val="24"/>
          <w:szCs w:val="32"/>
        </w:rPr>
      </w:pPr>
      <w:r>
        <w:rPr>
          <w:rFonts w:hint="eastAsia" w:ascii="黑体" w:hAnsi="黑体" w:eastAsia="黑体" w:cs="黑体"/>
          <w:sz w:val="24"/>
          <w:szCs w:val="32"/>
        </w:rPr>
        <w:t>乙方（或称承运方）：</w:t>
      </w:r>
    </w:p>
    <w:p>
      <w:pPr>
        <w:rPr>
          <w:rFonts w:ascii="黑体" w:hAnsi="黑体" w:eastAsia="黑体" w:cs="黑体"/>
          <w:sz w:val="24"/>
          <w:szCs w:val="32"/>
        </w:rPr>
      </w:pPr>
      <w:r>
        <w:rPr>
          <w:rFonts w:hint="eastAsia" w:ascii="黑体" w:hAnsi="黑体" w:eastAsia="黑体" w:cs="黑体"/>
          <w:sz w:val="24"/>
          <w:szCs w:val="32"/>
        </w:rPr>
        <w:t>注册地址：</w:t>
      </w:r>
    </w:p>
    <w:p>
      <w:pPr>
        <w:rPr>
          <w:rFonts w:ascii="黑体" w:hAnsi="黑体" w:eastAsia="黑体" w:cs="黑体"/>
          <w:sz w:val="24"/>
          <w:szCs w:val="32"/>
        </w:rPr>
      </w:pPr>
      <w:r>
        <w:rPr>
          <w:rFonts w:hint="eastAsia" w:ascii="黑体" w:hAnsi="黑体" w:eastAsia="黑体" w:cs="黑体"/>
          <w:sz w:val="24"/>
          <w:szCs w:val="32"/>
        </w:rPr>
        <w:t xml:space="preserve">法定代表人或授权代表人：    联系电话： </w:t>
      </w:r>
    </w:p>
    <w:p>
      <w:pPr>
        <w:rPr>
          <w:rFonts w:ascii="黑体" w:hAnsi="黑体" w:eastAsia="黑体" w:cs="黑体"/>
          <w:sz w:val="24"/>
          <w:szCs w:val="32"/>
        </w:rPr>
      </w:pPr>
      <w:r>
        <w:rPr>
          <w:rFonts w:hint="eastAsia" w:ascii="黑体" w:hAnsi="黑体" w:eastAsia="黑体" w:cs="黑体"/>
          <w:sz w:val="24"/>
          <w:szCs w:val="32"/>
        </w:rPr>
        <w:t>根据双方协商，基础运力及/或浮动运力需求内容如下：</w:t>
      </w:r>
    </w:p>
    <w:p>
      <w:pPr>
        <w:rPr>
          <w:rFonts w:ascii="黑体" w:hAnsi="黑体" w:eastAsia="黑体" w:cs="黑体"/>
          <w:b/>
          <w:bCs/>
          <w:sz w:val="24"/>
          <w:szCs w:val="32"/>
          <w:u w:val="none"/>
        </w:rPr>
      </w:pPr>
      <w:r>
        <w:rPr>
          <w:rFonts w:hint="eastAsia" w:ascii="黑体" w:hAnsi="黑体" w:eastAsia="黑体" w:cs="黑体"/>
          <w:b/>
          <w:bCs/>
          <w:sz w:val="24"/>
          <w:szCs w:val="32"/>
        </w:rPr>
        <w:t>1.根据甲方要求，乙方向甲方提供</w:t>
      </w:r>
      <w:r>
        <w:rPr>
          <w:rFonts w:hint="eastAsia" w:ascii="黑体" w:hAnsi="黑体" w:eastAsia="黑体" w:cs="黑体"/>
          <w:b/>
          <w:bCs/>
          <w:sz w:val="24"/>
          <w:szCs w:val="32"/>
          <w:lang w:val="en-US" w:eastAsia="zh-CN"/>
        </w:rPr>
        <w:t>_______</w:t>
      </w:r>
      <w:r>
        <w:rPr>
          <w:rFonts w:hint="eastAsia" w:ascii="黑体" w:hAnsi="黑体" w:eastAsia="黑体" w:cs="黑体"/>
          <w:b/>
          <w:bCs/>
          <w:sz w:val="24"/>
          <w:szCs w:val="32"/>
        </w:rPr>
        <w:t>吨的基础运力，交收地点为</w:t>
      </w:r>
      <w:r>
        <w:rPr>
          <w:rFonts w:hint="eastAsia" w:ascii="黑体" w:hAnsi="黑体" w:eastAsia="黑体" w:cs="黑体"/>
          <w:b/>
          <w:bCs/>
          <w:sz w:val="24"/>
          <w:szCs w:val="32"/>
          <w:lang w:val="en-US" w:eastAsia="zh-CN"/>
        </w:rPr>
        <w:t>________</w:t>
      </w:r>
      <w:r>
        <w:rPr>
          <w:rFonts w:hint="eastAsia" w:ascii="黑体" w:hAnsi="黑体" w:eastAsia="黑体" w:cs="黑体"/>
          <w:b/>
          <w:bCs/>
          <w:sz w:val="24"/>
          <w:szCs w:val="32"/>
          <w:u w:val="none"/>
        </w:rPr>
        <w:t>。</w:t>
      </w:r>
    </w:p>
    <w:p>
      <w:pPr>
        <w:rPr>
          <w:rFonts w:hint="eastAsia" w:ascii="黑体" w:hAnsi="黑体" w:eastAsia="黑体" w:cs="黑体"/>
          <w:b/>
          <w:bCs/>
          <w:sz w:val="24"/>
          <w:szCs w:val="32"/>
        </w:rPr>
      </w:pPr>
    </w:p>
    <w:p>
      <w:pPr>
        <w:rPr>
          <w:rFonts w:ascii="黑体" w:hAnsi="黑体" w:eastAsia="黑体" w:cs="黑体"/>
          <w:b/>
          <w:bCs/>
          <w:sz w:val="24"/>
          <w:szCs w:val="32"/>
        </w:rPr>
      </w:pPr>
      <w:r>
        <w:rPr>
          <w:rFonts w:hint="eastAsia" w:ascii="黑体" w:hAnsi="黑体" w:eastAsia="黑体" w:cs="黑体"/>
          <w:b/>
          <w:bCs/>
          <w:sz w:val="24"/>
          <w:szCs w:val="32"/>
        </w:rPr>
        <w:t>2.本确认函所指定基础运力归属甲方指挥调度期间从</w:t>
      </w:r>
      <w:r>
        <w:rPr>
          <w:rFonts w:hint="eastAsia" w:ascii="黑体" w:hAnsi="黑体" w:eastAsia="黑体" w:cs="黑体"/>
          <w:b/>
          <w:bCs/>
          <w:sz w:val="24"/>
          <w:szCs w:val="32"/>
          <w:lang w:val="en-US" w:eastAsia="zh-CN"/>
        </w:rPr>
        <w:t>_______</w:t>
      </w:r>
      <w:r>
        <w:rPr>
          <w:rFonts w:hint="eastAsia" w:ascii="黑体" w:hAnsi="黑体" w:eastAsia="黑体" w:cs="黑体"/>
          <w:b/>
          <w:bCs/>
          <w:sz w:val="24"/>
          <w:szCs w:val="32"/>
        </w:rPr>
        <w:t>起至</w:t>
      </w:r>
      <w:r>
        <w:rPr>
          <w:rFonts w:hint="eastAsia" w:ascii="黑体" w:hAnsi="黑体" w:eastAsia="黑体" w:cs="黑体"/>
          <w:b/>
          <w:bCs/>
          <w:sz w:val="24"/>
          <w:szCs w:val="32"/>
          <w:lang w:val="en-US" w:eastAsia="zh-CN"/>
        </w:rPr>
        <w:t>_______</w:t>
      </w:r>
      <w:r>
        <w:rPr>
          <w:rFonts w:hint="eastAsia" w:ascii="黑体" w:hAnsi="黑体" w:eastAsia="黑体" w:cs="黑体"/>
          <w:b/>
          <w:bCs/>
          <w:sz w:val="24"/>
          <w:szCs w:val="32"/>
        </w:rPr>
        <w:t>。</w:t>
      </w:r>
    </w:p>
    <w:p>
      <w:pPr>
        <w:rPr>
          <w:rFonts w:hint="eastAsia" w:ascii="黑体" w:hAnsi="黑体" w:eastAsia="黑体" w:cs="黑体"/>
          <w:b/>
          <w:bCs/>
          <w:sz w:val="24"/>
          <w:szCs w:val="32"/>
        </w:rPr>
      </w:pPr>
    </w:p>
    <w:p>
      <w:pPr>
        <w:rPr>
          <w:rFonts w:ascii="黑体" w:hAnsi="黑体" w:eastAsia="黑体" w:cs="黑体"/>
          <w:b/>
          <w:bCs/>
          <w:sz w:val="24"/>
          <w:szCs w:val="32"/>
        </w:rPr>
      </w:pPr>
      <w:r>
        <w:rPr>
          <w:rFonts w:hint="eastAsia" w:ascii="黑体" w:hAnsi="黑体" w:eastAsia="黑体" w:cs="黑体"/>
          <w:b/>
          <w:bCs/>
          <w:sz w:val="24"/>
          <w:szCs w:val="32"/>
        </w:rPr>
        <w:t>3.正常运输费率</w:t>
      </w:r>
    </w:p>
    <w:p>
      <w:pPr>
        <w:rPr>
          <w:rFonts w:ascii="黑体" w:hAnsi="黑体" w:eastAsia="黑体" w:cs="黑体"/>
          <w:sz w:val="24"/>
          <w:szCs w:val="32"/>
        </w:rPr>
      </w:pPr>
      <w:r>
        <w:rPr>
          <w:rFonts w:hint="eastAsia" w:ascii="黑体" w:hAnsi="黑体" w:eastAsia="黑体" w:cs="黑体"/>
          <w:sz w:val="24"/>
          <w:szCs w:val="32"/>
        </w:rPr>
        <w:t>运输单价与运输距离的关系如下表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rPr>
                <w:rFonts w:ascii="黑体" w:hAnsi="黑体" w:eastAsia="黑体" w:cs="黑体"/>
                <w:sz w:val="24"/>
                <w:szCs w:val="32"/>
              </w:rPr>
            </w:pPr>
            <w:r>
              <w:rPr>
                <w:rFonts w:hint="eastAsia" w:ascii="黑体" w:hAnsi="黑体" w:eastAsia="黑体" w:cs="黑体"/>
                <w:sz w:val="24"/>
                <w:szCs w:val="32"/>
              </w:rPr>
              <w:t>运输距离</w:t>
            </w:r>
          </w:p>
        </w:tc>
        <w:tc>
          <w:tcPr>
            <w:tcW w:w="2799" w:type="dxa"/>
          </w:tcPr>
          <w:p>
            <w:pPr>
              <w:rPr>
                <w:rFonts w:hint="eastAsia" w:ascii="黑体" w:hAnsi="黑体" w:eastAsia="黑体" w:cs="黑体"/>
                <w:sz w:val="24"/>
                <w:szCs w:val="32"/>
                <w:lang w:eastAsia="zh-CN"/>
              </w:rPr>
            </w:pPr>
            <w:r>
              <w:rPr>
                <w:rFonts w:hint="eastAsia" w:ascii="黑体" w:hAnsi="黑体" w:eastAsia="黑体" w:cs="黑体"/>
                <w:sz w:val="24"/>
                <w:szCs w:val="32"/>
              </w:rPr>
              <w:t>运输单价</w:t>
            </w:r>
            <w:r>
              <w:rPr>
                <w:rFonts w:hint="eastAsia" w:ascii="黑体" w:hAnsi="黑体" w:eastAsia="黑体" w:cs="黑体"/>
                <w:sz w:val="24"/>
                <w:szCs w:val="32"/>
                <w:lang w:eastAsia="zh-CN"/>
              </w:rPr>
              <w:t>（</w:t>
            </w:r>
            <w:r>
              <w:rPr>
                <w:rFonts w:hint="eastAsia" w:ascii="黑体" w:hAnsi="黑体" w:eastAsia="黑体" w:cs="黑体"/>
                <w:sz w:val="24"/>
                <w:szCs w:val="32"/>
              </w:rPr>
              <w:t>元/吨·公里</w:t>
            </w:r>
            <w:r>
              <w:rPr>
                <w:rFonts w:hint="eastAsia" w:ascii="黑体" w:hAnsi="黑体" w:eastAsia="黑体" w:cs="黑体"/>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widowControl/>
              <w:jc w:val="left"/>
              <w:rPr>
                <w:rFonts w:ascii="黑体" w:hAnsi="黑体" w:eastAsia="黑体" w:cs="黑体"/>
                <w:sz w:val="24"/>
                <w:szCs w:val="32"/>
                <w:u w:val="none"/>
              </w:rPr>
            </w:pPr>
            <w:r>
              <w:rPr>
                <w:rFonts w:hint="eastAsia" w:ascii="黑体" w:hAnsi="黑体" w:eastAsia="黑体"/>
                <w:sz w:val="24"/>
                <w:szCs w:val="24"/>
                <w:u w:val="none"/>
              </w:rPr>
              <w:t>100公里及以下</w:t>
            </w:r>
            <w:r>
              <w:rPr>
                <w:rFonts w:hint="eastAsia" w:ascii="黑体" w:hAnsi="黑体" w:eastAsia="黑体" w:cs="黑体"/>
                <w:sz w:val="24"/>
                <w:szCs w:val="32"/>
                <w:u w:val="none"/>
              </w:rPr>
              <w:t>（不足100公里按100公里计）</w:t>
            </w:r>
          </w:p>
        </w:tc>
        <w:tc>
          <w:tcPr>
            <w:tcW w:w="2799" w:type="dxa"/>
          </w:tcPr>
          <w:p>
            <w:pPr>
              <w:rPr>
                <w:rFonts w:hint="default" w:ascii="黑体" w:hAnsi="黑体" w:eastAsia="黑体" w:cs="黑体"/>
                <w:sz w:val="24"/>
                <w:szCs w:val="3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widowControl/>
              <w:jc w:val="left"/>
              <w:rPr>
                <w:rFonts w:hint="eastAsia" w:ascii="黑体" w:hAnsi="黑体" w:eastAsia="黑体"/>
                <w:sz w:val="24"/>
                <w:szCs w:val="24"/>
                <w:u w:val="none"/>
                <w:lang w:val="en-US" w:eastAsia="zh-CN"/>
              </w:rPr>
            </w:pPr>
            <w:r>
              <w:rPr>
                <w:rFonts w:hint="eastAsia" w:ascii="黑体" w:hAnsi="黑体" w:eastAsia="黑体"/>
                <w:sz w:val="24"/>
                <w:szCs w:val="24"/>
                <w:u w:val="none"/>
              </w:rPr>
              <w:t>101-200</w:t>
            </w:r>
            <w:r>
              <w:rPr>
                <w:rFonts w:hint="eastAsia" w:ascii="黑体" w:hAnsi="黑体" w:eastAsia="黑体"/>
                <w:sz w:val="24"/>
                <w:szCs w:val="24"/>
                <w:u w:val="none"/>
                <w:lang w:val="en-US" w:eastAsia="zh-CN"/>
              </w:rPr>
              <w:t>公里</w:t>
            </w:r>
          </w:p>
        </w:tc>
        <w:tc>
          <w:tcPr>
            <w:tcW w:w="2799" w:type="dxa"/>
          </w:tcPr>
          <w:p>
            <w:pPr>
              <w:rPr>
                <w:rFonts w:hint="default" w:ascii="黑体" w:hAnsi="黑体" w:eastAsia="黑体" w:cs="黑体"/>
                <w:sz w:val="24"/>
                <w:szCs w:val="3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widowControl/>
              <w:jc w:val="left"/>
              <w:rPr>
                <w:rFonts w:hint="eastAsia" w:ascii="黑体" w:hAnsi="黑体" w:eastAsia="黑体"/>
                <w:sz w:val="24"/>
                <w:szCs w:val="24"/>
                <w:u w:val="none"/>
                <w:lang w:val="en-US" w:eastAsia="zh-CN"/>
              </w:rPr>
            </w:pPr>
            <w:r>
              <w:rPr>
                <w:rFonts w:hint="eastAsia" w:ascii="黑体" w:hAnsi="黑体" w:eastAsia="黑体"/>
                <w:sz w:val="24"/>
                <w:szCs w:val="24"/>
                <w:u w:val="none"/>
              </w:rPr>
              <w:t>201-300</w:t>
            </w:r>
            <w:r>
              <w:rPr>
                <w:rFonts w:hint="eastAsia" w:ascii="黑体" w:hAnsi="黑体" w:eastAsia="黑体"/>
                <w:sz w:val="24"/>
                <w:szCs w:val="24"/>
                <w:u w:val="none"/>
                <w:lang w:val="en-US" w:eastAsia="zh-CN"/>
              </w:rPr>
              <w:t>公里</w:t>
            </w:r>
          </w:p>
        </w:tc>
        <w:tc>
          <w:tcPr>
            <w:tcW w:w="2799" w:type="dxa"/>
          </w:tcPr>
          <w:p>
            <w:pPr>
              <w:rPr>
                <w:rFonts w:hint="default" w:ascii="黑体" w:hAnsi="黑体" w:eastAsia="黑体" w:cs="黑体"/>
                <w:sz w:val="24"/>
                <w:szCs w:val="3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widowControl/>
              <w:jc w:val="left"/>
              <w:rPr>
                <w:rFonts w:hint="eastAsia" w:ascii="黑体" w:hAnsi="黑体" w:eastAsia="黑体"/>
                <w:sz w:val="24"/>
                <w:szCs w:val="24"/>
                <w:u w:val="none"/>
                <w:lang w:val="en-US" w:eastAsia="zh-CN"/>
              </w:rPr>
            </w:pPr>
            <w:r>
              <w:rPr>
                <w:rFonts w:hint="eastAsia" w:ascii="黑体" w:hAnsi="黑体" w:eastAsia="黑体"/>
                <w:sz w:val="24"/>
                <w:szCs w:val="24"/>
                <w:u w:val="none"/>
              </w:rPr>
              <w:t>301-400</w:t>
            </w:r>
            <w:r>
              <w:rPr>
                <w:rFonts w:hint="eastAsia" w:ascii="黑体" w:hAnsi="黑体" w:eastAsia="黑体"/>
                <w:sz w:val="24"/>
                <w:szCs w:val="24"/>
                <w:u w:val="none"/>
                <w:lang w:val="en-US" w:eastAsia="zh-CN"/>
              </w:rPr>
              <w:t>公里</w:t>
            </w:r>
          </w:p>
        </w:tc>
        <w:tc>
          <w:tcPr>
            <w:tcW w:w="2799" w:type="dxa"/>
          </w:tcPr>
          <w:p>
            <w:pPr>
              <w:rPr>
                <w:rFonts w:hint="eastAsia" w:ascii="黑体" w:hAnsi="黑体" w:eastAsia="黑体" w:cs="黑体"/>
                <w:sz w:val="24"/>
                <w:szCs w:val="3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3" w:type="dxa"/>
          </w:tcPr>
          <w:p>
            <w:pPr>
              <w:widowControl/>
              <w:jc w:val="left"/>
              <w:rPr>
                <w:rFonts w:hint="eastAsia" w:ascii="黑体" w:hAnsi="黑体" w:eastAsia="仿宋"/>
                <w:sz w:val="24"/>
                <w:szCs w:val="24"/>
                <w:u w:val="single"/>
                <w:lang w:val="en-US" w:eastAsia="zh-CN"/>
              </w:rPr>
            </w:pPr>
            <w:r>
              <w:rPr>
                <w:rFonts w:hint="eastAsia" w:ascii="黑体" w:hAnsi="黑体" w:eastAsia="黑体"/>
                <w:sz w:val="24"/>
                <w:szCs w:val="24"/>
                <w:u w:val="none"/>
              </w:rPr>
              <w:t>≥401</w:t>
            </w:r>
            <w:r>
              <w:rPr>
                <w:rFonts w:hint="eastAsia" w:ascii="黑体" w:hAnsi="黑体" w:eastAsia="黑体"/>
                <w:sz w:val="24"/>
                <w:szCs w:val="24"/>
                <w:u w:val="none"/>
                <w:lang w:val="en-US" w:eastAsia="zh-CN"/>
              </w:rPr>
              <w:t>公里</w:t>
            </w:r>
          </w:p>
        </w:tc>
        <w:tc>
          <w:tcPr>
            <w:tcW w:w="2799" w:type="dxa"/>
          </w:tcPr>
          <w:p>
            <w:pPr>
              <w:rPr>
                <w:rFonts w:hint="eastAsia" w:ascii="黑体" w:hAnsi="黑体" w:eastAsia="黑体" w:cs="黑体"/>
                <w:sz w:val="24"/>
                <w:szCs w:val="32"/>
                <w:u w:val="single"/>
                <w:lang w:val="en-US" w:eastAsia="zh-CN"/>
              </w:rPr>
            </w:pPr>
          </w:p>
        </w:tc>
      </w:tr>
    </w:tbl>
    <w:p>
      <w:pPr>
        <w:rPr>
          <w:rFonts w:hint="eastAsia" w:ascii="黑体" w:hAnsi="黑体" w:eastAsia="黑体" w:cs="黑体"/>
          <w:b/>
          <w:bCs/>
          <w:sz w:val="24"/>
          <w:szCs w:val="32"/>
        </w:rPr>
      </w:pPr>
    </w:p>
    <w:p>
      <w:pPr>
        <w:rPr>
          <w:rFonts w:ascii="黑体" w:hAnsi="黑体" w:eastAsia="黑体" w:cs="黑体"/>
          <w:b/>
          <w:bCs/>
          <w:sz w:val="24"/>
          <w:szCs w:val="32"/>
        </w:rPr>
      </w:pPr>
      <w:r>
        <w:rPr>
          <w:rFonts w:hint="eastAsia" w:ascii="黑体" w:hAnsi="黑体" w:eastAsia="黑体" w:cs="黑体"/>
          <w:b/>
          <w:bCs/>
          <w:sz w:val="24"/>
          <w:szCs w:val="32"/>
        </w:rPr>
        <w:t>4.特殊运输费率</w:t>
      </w:r>
    </w:p>
    <w:p>
      <w:pPr>
        <w:rPr>
          <w:rFonts w:ascii="黑体" w:hAnsi="黑体" w:eastAsia="黑体" w:cs="黑体"/>
          <w:sz w:val="24"/>
          <w:szCs w:val="32"/>
        </w:rPr>
      </w:pPr>
      <w:r>
        <w:rPr>
          <w:rFonts w:hint="eastAsia" w:ascii="黑体" w:hAnsi="黑体" w:eastAsia="黑体" w:cs="黑体"/>
          <w:sz w:val="24"/>
          <w:szCs w:val="32"/>
        </w:rPr>
        <w:t>4.1 当运输车辆一趟运输中发生多次卸车时：</w:t>
      </w:r>
    </w:p>
    <w:p>
      <w:pPr>
        <w:rPr>
          <w:rFonts w:ascii="黑体" w:hAnsi="黑体" w:eastAsia="黑体" w:cs="黑体"/>
          <w:sz w:val="24"/>
          <w:szCs w:val="32"/>
        </w:rPr>
      </w:pPr>
      <w:r>
        <w:rPr>
          <w:rFonts w:hint="eastAsia" w:ascii="黑体" w:hAnsi="黑体" w:eastAsia="黑体" w:cs="黑体"/>
          <w:sz w:val="24"/>
          <w:szCs w:val="32"/>
        </w:rPr>
        <w:t>（1）基础运输费按照正常运输费率及最远实际里程计算；</w:t>
      </w:r>
    </w:p>
    <w:p>
      <w:pPr>
        <w:rPr>
          <w:rFonts w:ascii="黑体" w:hAnsi="黑体" w:eastAsia="黑体" w:cs="黑体"/>
          <w:sz w:val="24"/>
          <w:szCs w:val="32"/>
        </w:rPr>
      </w:pPr>
      <w:r>
        <w:rPr>
          <w:rFonts w:hint="eastAsia" w:ascii="黑体" w:hAnsi="黑体" w:eastAsia="黑体" w:cs="黑体"/>
          <w:sz w:val="24"/>
          <w:szCs w:val="32"/>
        </w:rPr>
        <w:t>（2）附加运输费率如下表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pPr>
              <w:rPr>
                <w:rFonts w:ascii="黑体" w:hAnsi="黑体" w:eastAsia="黑体" w:cs="黑体"/>
                <w:sz w:val="24"/>
                <w:szCs w:val="32"/>
              </w:rPr>
            </w:pPr>
            <w:r>
              <w:rPr>
                <w:rFonts w:hint="eastAsia" w:ascii="黑体" w:hAnsi="黑体" w:eastAsia="黑体" w:cs="黑体"/>
                <w:sz w:val="24"/>
                <w:szCs w:val="32"/>
              </w:rPr>
              <w:t>运输距离</w:t>
            </w:r>
          </w:p>
        </w:tc>
        <w:tc>
          <w:tcPr>
            <w:tcW w:w="5222" w:type="dxa"/>
          </w:tcPr>
          <w:p>
            <w:pPr>
              <w:rPr>
                <w:rFonts w:ascii="黑体" w:hAnsi="黑体" w:eastAsia="黑体" w:cs="黑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pPr>
              <w:rPr>
                <w:rFonts w:ascii="黑体" w:hAnsi="黑体" w:eastAsia="黑体" w:cs="黑体"/>
                <w:sz w:val="24"/>
                <w:szCs w:val="32"/>
              </w:rPr>
            </w:pPr>
            <w:r>
              <w:rPr>
                <w:rFonts w:hint="eastAsia" w:ascii="黑体" w:hAnsi="黑体" w:eastAsia="黑体" w:cs="黑体"/>
                <w:sz w:val="24"/>
                <w:szCs w:val="32"/>
              </w:rPr>
              <w:t>0-20（含）公里</w:t>
            </w:r>
          </w:p>
        </w:tc>
        <w:tc>
          <w:tcPr>
            <w:tcW w:w="5222" w:type="dxa"/>
          </w:tcPr>
          <w:p>
            <w:pPr>
              <w:ind w:firstLine="480" w:firstLineChars="200"/>
              <w:rPr>
                <w:rFonts w:ascii="黑体" w:hAnsi="黑体" w:eastAsia="黑体" w:cs="黑体"/>
                <w:sz w:val="24"/>
                <w:szCs w:val="32"/>
              </w:rPr>
            </w:pPr>
            <w:r>
              <w:rPr>
                <w:rFonts w:hint="eastAsia" w:ascii="黑体" w:hAnsi="黑体" w:eastAsia="黑体" w:cs="黑体"/>
                <w:sz w:val="24"/>
                <w:szCs w:val="32"/>
              </w:rPr>
              <w:t>元/车（不足20公里按20公里算）（取整）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pPr>
              <w:rPr>
                <w:rFonts w:ascii="黑体" w:hAnsi="黑体" w:eastAsia="黑体" w:cs="黑体"/>
                <w:sz w:val="24"/>
                <w:szCs w:val="32"/>
              </w:rPr>
            </w:pPr>
            <w:r>
              <w:rPr>
                <w:rFonts w:hint="eastAsia" w:ascii="黑体" w:hAnsi="黑体" w:eastAsia="黑体" w:cs="黑体"/>
                <w:sz w:val="24"/>
                <w:szCs w:val="32"/>
              </w:rPr>
              <w:t>20公里及以上</w:t>
            </w:r>
          </w:p>
        </w:tc>
        <w:tc>
          <w:tcPr>
            <w:tcW w:w="5222" w:type="dxa"/>
          </w:tcPr>
          <w:p>
            <w:pPr>
              <w:ind w:firstLine="480" w:firstLineChars="200"/>
              <w:rPr>
                <w:rFonts w:ascii="黑体" w:hAnsi="黑体" w:eastAsia="黑体" w:cs="黑体"/>
                <w:sz w:val="24"/>
                <w:szCs w:val="32"/>
              </w:rPr>
            </w:pPr>
            <w:r>
              <w:rPr>
                <w:rFonts w:hint="eastAsia" w:ascii="黑体" w:hAnsi="黑体" w:eastAsia="黑体" w:cs="黑体"/>
                <w:sz w:val="24"/>
                <w:szCs w:val="32"/>
              </w:rPr>
              <w:t>元/车  （取整）</w:t>
            </w:r>
          </w:p>
        </w:tc>
      </w:tr>
    </w:tbl>
    <w:p>
      <w:pPr>
        <w:rPr>
          <w:rFonts w:ascii="黑体" w:hAnsi="黑体" w:eastAsia="黑体" w:cs="黑体"/>
          <w:sz w:val="24"/>
          <w:szCs w:val="32"/>
        </w:rPr>
      </w:pPr>
      <w:r>
        <w:rPr>
          <w:rFonts w:hint="eastAsia" w:ascii="黑体" w:hAnsi="黑体" w:eastAsia="黑体" w:cs="黑体"/>
          <w:sz w:val="24"/>
          <w:szCs w:val="32"/>
        </w:rPr>
        <w:t>备注：分卸点运输距离以实际卸货地到分卸点为准。</w:t>
      </w:r>
    </w:p>
    <w:p>
      <w:pPr>
        <w:rPr>
          <w:rFonts w:ascii="黑体" w:hAnsi="黑体" w:eastAsia="黑体" w:cs="黑体"/>
          <w:sz w:val="24"/>
          <w:szCs w:val="32"/>
        </w:rPr>
      </w:pPr>
      <w:r>
        <w:rPr>
          <w:rFonts w:hint="eastAsia" w:ascii="黑体" w:hAnsi="黑体" w:eastAsia="黑体" w:cs="黑体"/>
          <w:sz w:val="24"/>
          <w:szCs w:val="32"/>
        </w:rPr>
        <w:t>（</w:t>
      </w:r>
      <w:r>
        <w:rPr>
          <w:rFonts w:ascii="黑体" w:hAnsi="黑体" w:eastAsia="黑体" w:cs="黑体"/>
          <w:sz w:val="24"/>
          <w:szCs w:val="32"/>
        </w:rPr>
        <w:t>3</w:t>
      </w:r>
      <w:r>
        <w:rPr>
          <w:rFonts w:hint="eastAsia" w:ascii="黑体" w:hAnsi="黑体" w:eastAsia="黑体" w:cs="黑体"/>
          <w:sz w:val="24"/>
          <w:szCs w:val="32"/>
        </w:rPr>
        <w:t>）当运输车辆发生未卸载完全时，若由于甲方原因导致未卸载完全的，甲方应当按照计划运输量向乙方支付运输费用。若由于乙方原因导致未卸载完全的，按照买卖双方签订的液化天然气运输服务合同9.5.2条计算运输费。</w:t>
      </w:r>
    </w:p>
    <w:p>
      <w:pPr>
        <w:rPr>
          <w:rFonts w:ascii="黑体" w:hAnsi="黑体" w:eastAsia="黑体" w:cs="黑体"/>
          <w:sz w:val="24"/>
          <w:szCs w:val="32"/>
        </w:rPr>
      </w:pPr>
      <w:r>
        <w:rPr>
          <w:rFonts w:hint="eastAsia" w:ascii="黑体" w:hAnsi="黑体" w:eastAsia="黑体" w:cs="黑体"/>
          <w:sz w:val="24"/>
          <w:szCs w:val="32"/>
        </w:rPr>
        <w:t>（</w:t>
      </w:r>
      <w:r>
        <w:rPr>
          <w:rFonts w:ascii="黑体" w:hAnsi="黑体" w:eastAsia="黑体" w:cs="黑体"/>
          <w:sz w:val="24"/>
          <w:szCs w:val="32"/>
        </w:rPr>
        <w:t>4</w:t>
      </w:r>
      <w:r>
        <w:rPr>
          <w:rFonts w:hint="eastAsia" w:ascii="黑体" w:hAnsi="黑体" w:eastAsia="黑体" w:cs="黑体"/>
          <w:sz w:val="24"/>
          <w:szCs w:val="32"/>
        </w:rPr>
        <w:t>）卸车等候时，等待12小时内免费，自第13个小时起每小时</w:t>
      </w:r>
      <w:r>
        <w:rPr>
          <w:rFonts w:hint="eastAsia" w:ascii="黑体" w:hAnsi="黑体" w:eastAsia="黑体" w:cs="黑体"/>
          <w:sz w:val="24"/>
          <w:szCs w:val="32"/>
          <w:lang w:val="en-US" w:eastAsia="zh-CN"/>
        </w:rPr>
        <w:t xml:space="preserve"> ___ </w:t>
      </w:r>
      <w:r>
        <w:rPr>
          <w:rFonts w:hint="eastAsia" w:ascii="黑体" w:hAnsi="黑体" w:eastAsia="黑体" w:cs="黑体"/>
          <w:sz w:val="24"/>
          <w:szCs w:val="32"/>
        </w:rPr>
        <w:t>元压车费（取计划到站时间与GPS实际到站时间两者中较晚者为压车费结算依据）。</w:t>
      </w:r>
    </w:p>
    <w:p>
      <w:pPr>
        <w:rPr>
          <w:rFonts w:ascii="黑体" w:hAnsi="黑体" w:eastAsia="黑体" w:cs="黑体"/>
          <w:sz w:val="24"/>
          <w:szCs w:val="32"/>
        </w:rPr>
      </w:pPr>
      <w:r>
        <w:rPr>
          <w:rFonts w:hint="eastAsia" w:ascii="黑体" w:hAnsi="黑体" w:eastAsia="黑体" w:cs="黑体"/>
          <w:sz w:val="24"/>
          <w:szCs w:val="32"/>
        </w:rPr>
        <w:t>（</w:t>
      </w:r>
      <w:r>
        <w:rPr>
          <w:rFonts w:ascii="黑体" w:hAnsi="黑体" w:eastAsia="黑体" w:cs="黑体"/>
          <w:sz w:val="24"/>
          <w:szCs w:val="32"/>
        </w:rPr>
        <w:t>5</w:t>
      </w:r>
      <w:r>
        <w:rPr>
          <w:rFonts w:hint="eastAsia" w:ascii="黑体" w:hAnsi="黑体" w:eastAsia="黑体" w:cs="黑体"/>
          <w:sz w:val="24"/>
          <w:szCs w:val="32"/>
        </w:rPr>
        <w:t>）如需走杭州湾跨海大桥，需额外支付过桥费用</w:t>
      </w:r>
      <w:r>
        <w:rPr>
          <w:rFonts w:hint="eastAsia" w:ascii="黑体" w:hAnsi="黑体" w:eastAsia="黑体" w:cs="黑体"/>
          <w:sz w:val="24"/>
          <w:szCs w:val="32"/>
          <w:lang w:val="en-US" w:eastAsia="zh-CN"/>
        </w:rPr>
        <w:t>____</w:t>
      </w:r>
      <w:r>
        <w:rPr>
          <w:rFonts w:hint="eastAsia" w:ascii="黑体" w:hAnsi="黑体" w:eastAsia="黑体" w:cs="黑体"/>
          <w:sz w:val="24"/>
          <w:szCs w:val="32"/>
        </w:rPr>
        <w:t>元/车次。</w:t>
      </w:r>
    </w:p>
    <w:p>
      <w:pPr>
        <w:rPr>
          <w:rFonts w:hint="eastAsia" w:ascii="黑体" w:hAnsi="黑体" w:eastAsia="黑体" w:cs="黑体"/>
          <w:b/>
          <w:bCs/>
          <w:sz w:val="24"/>
          <w:szCs w:val="32"/>
        </w:rPr>
      </w:pPr>
    </w:p>
    <w:p>
      <w:pPr>
        <w:rPr>
          <w:rFonts w:ascii="黑体" w:hAnsi="黑体" w:eastAsia="黑体" w:cs="黑体"/>
          <w:b/>
          <w:bCs/>
          <w:sz w:val="24"/>
          <w:szCs w:val="32"/>
        </w:rPr>
      </w:pPr>
      <w:r>
        <w:rPr>
          <w:rFonts w:hint="eastAsia" w:ascii="黑体" w:hAnsi="黑体" w:eastAsia="黑体" w:cs="黑体"/>
          <w:b/>
          <w:bCs/>
          <w:sz w:val="24"/>
          <w:szCs w:val="32"/>
        </w:rPr>
        <w:t>5.生效</w:t>
      </w:r>
    </w:p>
    <w:p>
      <w:pPr>
        <w:rPr>
          <w:rFonts w:hint="eastAsia" w:ascii="黑体" w:hAnsi="黑体" w:eastAsia="黑体"/>
          <w:sz w:val="24"/>
          <w:szCs w:val="24"/>
        </w:rPr>
      </w:pPr>
      <w:r>
        <w:rPr>
          <w:rFonts w:hint="eastAsia" w:ascii="黑体" w:hAnsi="黑体" w:eastAsia="黑体" w:cs="黑体"/>
          <w:sz w:val="24"/>
          <w:szCs w:val="32"/>
        </w:rPr>
        <w:t>买卖双方登录交易中心电子交易系统，输入交易指令并达成交易即视为买卖双方签署本确认函，本确认函即行生效。本确认函生效之日以交易中心电子交易系统记录的买卖双方输入交易指令并达成交易的时间为准。</w:t>
      </w:r>
    </w:p>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A3CA5F-A194-4650-956A-89A132B0F3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B8B383E-4C0C-4C2D-9396-5EBA17F4EEA9}"/>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1EEF8AD8-ECEE-48CA-8D09-CE00A358DCCB}"/>
  </w:font>
  <w:font w:name="华文中宋">
    <w:panose1 w:val="02010600040101010101"/>
    <w:charset w:val="86"/>
    <w:family w:val="auto"/>
    <w:pitch w:val="default"/>
    <w:sig w:usb0="00000287" w:usb1="080F0000" w:usb2="00000000" w:usb3="00000000" w:csb0="0004009F" w:csb1="DFD70000"/>
    <w:embedRegular r:id="rId4" w:fontKey="{CBBA065A-1672-4509-8959-F50CFCDFC9B7}"/>
  </w:font>
  <w:font w:name="方正小标宋简体">
    <w:panose1 w:val="02000000000000000000"/>
    <w:charset w:val="86"/>
    <w:family w:val="script"/>
    <w:pitch w:val="default"/>
    <w:sig w:usb0="00000001" w:usb1="08000000" w:usb2="00000000" w:usb3="00000000" w:csb0="00040000" w:csb1="00000000"/>
    <w:embedRegular r:id="rId5" w:fontKey="{60577793-612E-488C-B2E3-F2B0220162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323" w:h="382" w:hRule="exact" w:wrap="around" w:vAnchor="page" w:hAnchor="page" w:x="9126" w:y="15096"/>
      <w:rPr>
        <w:rStyle w:val="18"/>
        <w:rFonts w:ascii="仿宋_GB2312"/>
        <w:sz w:val="28"/>
        <w:szCs w:val="28"/>
      </w:rPr>
    </w:pPr>
    <w:r>
      <w:rPr>
        <w:rStyle w:val="18"/>
        <w:rFonts w:hint="eastAsia"/>
        <w:sz w:val="28"/>
      </w:rPr>
      <w:t>—</w:t>
    </w:r>
    <w:r>
      <w:rPr>
        <w:rStyle w:val="18"/>
        <w:rFonts w:hint="eastAsia" w:ascii="方正小标宋简体" w:eastAsia="方正小标宋简体"/>
        <w:sz w:val="28"/>
      </w:rPr>
      <w:t xml:space="preserve"> </w:t>
    </w:r>
    <w:r>
      <w:rPr>
        <w:rStyle w:val="18"/>
        <w:rFonts w:hint="eastAsia" w:ascii="宋体" w:hAnsi="宋体"/>
        <w:sz w:val="28"/>
        <w:szCs w:val="28"/>
      </w:rPr>
      <w:fldChar w:fldCharType="begin"/>
    </w:r>
    <w:r>
      <w:rPr>
        <w:rStyle w:val="18"/>
        <w:rFonts w:hint="eastAsia" w:ascii="宋体" w:hAnsi="宋体"/>
        <w:sz w:val="28"/>
        <w:szCs w:val="28"/>
      </w:rPr>
      <w:instrText xml:space="preserve">PAGE  </w:instrText>
    </w:r>
    <w:r>
      <w:rPr>
        <w:rStyle w:val="18"/>
        <w:rFonts w:hint="eastAsia" w:ascii="宋体" w:hAnsi="宋体"/>
        <w:sz w:val="28"/>
        <w:szCs w:val="28"/>
      </w:rPr>
      <w:fldChar w:fldCharType="separate"/>
    </w:r>
    <w:r>
      <w:rPr>
        <w:rStyle w:val="18"/>
        <w:rFonts w:ascii="宋体" w:hAnsi="宋体"/>
        <w:sz w:val="28"/>
        <w:szCs w:val="28"/>
      </w:rPr>
      <w:t>3</w:t>
    </w:r>
    <w:r>
      <w:rPr>
        <w:rStyle w:val="18"/>
        <w:rFonts w:hint="eastAsia" w:ascii="宋体" w:hAnsi="宋体"/>
        <w:sz w:val="28"/>
        <w:szCs w:val="28"/>
      </w:rPr>
      <w:fldChar w:fldCharType="end"/>
    </w:r>
    <w:r>
      <w:rPr>
        <w:rStyle w:val="18"/>
        <w:rFonts w:ascii="宋体" w:hAnsi="宋体"/>
        <w:sz w:val="28"/>
        <w:szCs w:val="28"/>
      </w:rPr>
      <w:t xml:space="preserve"> </w:t>
    </w:r>
    <w:r>
      <w:rPr>
        <w:rStyle w:val="18"/>
        <w:rFonts w:hint="eastAsia" w:ascii="仿宋_GB2312"/>
        <w:sz w:val="28"/>
        <w:szCs w:val="28"/>
      </w:rPr>
      <w:t>—</w:t>
    </w:r>
  </w:p>
  <w:p>
    <w:pPr>
      <w:pStyle w:val="10"/>
      <w:framePr w:w="1323" w:h="382" w:hRule="exact" w:wrap="around" w:vAnchor="page" w:hAnchor="page" w:x="9126" w:y="15096"/>
      <w:rPr>
        <w:rStyle w:val="18"/>
        <w:rFonts w:ascii="仿宋_GB2312"/>
        <w:sz w:val="28"/>
        <w:szCs w:val="28"/>
      </w:rPr>
    </w:pPr>
  </w:p>
  <w:p>
    <w:pPr>
      <w:pStyle w:val="10"/>
      <w:framePr w:w="1323" w:h="382" w:hRule="exact" w:wrap="around" w:vAnchor="page" w:hAnchor="page" w:x="9126" w:y="15096"/>
      <w:rPr>
        <w:rStyle w:val="18"/>
        <w:rFonts w:ascii="仿宋_GB2312"/>
        <w:sz w:val="30"/>
      </w:rPr>
    </w:pPr>
  </w:p>
  <w:p>
    <w:pPr>
      <w:pStyle w:val="10"/>
      <w:framePr w:w="1323" w:h="382" w:hRule="exact" w:wrap="around" w:vAnchor="page" w:hAnchor="page" w:x="9126" w:y="15096"/>
      <w:rPr>
        <w:rStyle w:val="18"/>
        <w:sz w:val="28"/>
      </w:rPr>
    </w:pPr>
    <w:r>
      <w:rPr>
        <w:rStyle w:val="18"/>
        <w:rFonts w:hint="eastAsia"/>
        <w:sz w:val="28"/>
      </w:rPr>
      <w:t>—</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469" w:h="357" w:hRule="exact" w:wrap="around" w:vAnchor="page" w:hAnchor="page" w:x="1546" w:y="15108"/>
      <w:rPr>
        <w:rStyle w:val="18"/>
        <w:sz w:val="28"/>
        <w:szCs w:val="28"/>
      </w:rPr>
    </w:pPr>
    <w:r>
      <w:rPr>
        <w:rStyle w:val="18"/>
        <w:rFonts w:hint="eastAsia"/>
        <w:sz w:val="28"/>
        <w:szCs w:val="28"/>
      </w:rPr>
      <w:t xml:space="preserve">  —</w:t>
    </w:r>
    <w:r>
      <w:rPr>
        <w:rStyle w:val="18"/>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2</w:t>
    </w:r>
    <w:r>
      <w:rPr>
        <w:rStyle w:val="18"/>
        <w:rFonts w:ascii="宋体" w:hAnsi="宋体"/>
        <w:sz w:val="28"/>
        <w:szCs w:val="28"/>
      </w:rPr>
      <w:fldChar w:fldCharType="end"/>
    </w:r>
    <w:r>
      <w:rPr>
        <w:rStyle w:val="18"/>
        <w:sz w:val="28"/>
        <w:szCs w:val="28"/>
      </w:rPr>
      <w:t xml:space="preserve"> </w:t>
    </w:r>
    <w:r>
      <w:rPr>
        <w:rStyle w:val="18"/>
        <w:rFonts w:hint="eastAsia"/>
        <w:sz w:val="28"/>
        <w:szCs w:val="28"/>
      </w:rPr>
      <w:t>—</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36195</wp:posOffset>
              </wp:positionV>
              <wp:extent cx="6120130" cy="0"/>
              <wp:effectExtent l="0" t="28575" r="1270" b="34925"/>
              <wp:wrapNone/>
              <wp:docPr id="3" name="直线 1"/>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margin-left:-18.15pt;margin-top:2.85pt;height:0pt;width:481.9pt;z-index:251659264;mso-width-relative:margin;mso-height-relative:margin;" filled="f" stroked="t" coordsize="21600,21600" o:gfxdata="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KW&#10;hS/VAAAABwEAAA8AAAAAAAAAAQAgAAAAIgAAAGRycy9kb3ducmV2LnhtbFBLAQIUABQAAAAIAIdO&#10;4kCgu+fJ7QEAAOIDAAAOAAAAAAAAAAEAIAAAACQBAABkcnMvZTJvRG9jLnhtbFBLBQYAAAAABgAG&#10;AFkBAACDBQAAAAA=&#10;">
              <v:fill on="f" focussize="0,0"/>
              <v:stroke weight="4.5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dit="trackedChanges" w:enforcement="0"/>
  <w:defaultTabStop w:val="425"/>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050377295114627NF"/>
    <w:docVar w:name="aztPrintName" w:val="000000ESAOAPRINT"/>
    <w:docVar w:name="aztPrintType" w:val="2"/>
    <w:docVar w:name="fieldCopyNum" w:val="0000001"/>
    <w:docVar w:name="fieldSecreteDeg" w:val="绝密"/>
    <w:docVar w:name="fieldSecreteLen" w:val="★一年"/>
    <w:docVar w:name="fieldUrgencyDeg" w:val="特  急"/>
  </w:docVars>
  <w:rsids>
    <w:rsidRoot w:val="00172A27"/>
    <w:rsid w:val="000014F4"/>
    <w:rsid w:val="00002BFB"/>
    <w:rsid w:val="00004603"/>
    <w:rsid w:val="0000662C"/>
    <w:rsid w:val="00007D30"/>
    <w:rsid w:val="00014B16"/>
    <w:rsid w:val="00016C0A"/>
    <w:rsid w:val="00022121"/>
    <w:rsid w:val="00026D7A"/>
    <w:rsid w:val="0003349C"/>
    <w:rsid w:val="00034D36"/>
    <w:rsid w:val="000374ED"/>
    <w:rsid w:val="00040701"/>
    <w:rsid w:val="00043E7D"/>
    <w:rsid w:val="00051C29"/>
    <w:rsid w:val="0005356E"/>
    <w:rsid w:val="00054D72"/>
    <w:rsid w:val="000575F0"/>
    <w:rsid w:val="00065100"/>
    <w:rsid w:val="00070A95"/>
    <w:rsid w:val="000828E0"/>
    <w:rsid w:val="0008603E"/>
    <w:rsid w:val="0008764C"/>
    <w:rsid w:val="000937CB"/>
    <w:rsid w:val="000946FE"/>
    <w:rsid w:val="000A5CD2"/>
    <w:rsid w:val="000C32A9"/>
    <w:rsid w:val="000C5CDB"/>
    <w:rsid w:val="000C78F0"/>
    <w:rsid w:val="000C7B30"/>
    <w:rsid w:val="000D5190"/>
    <w:rsid w:val="000E0191"/>
    <w:rsid w:val="000E044C"/>
    <w:rsid w:val="000E30E1"/>
    <w:rsid w:val="000E745E"/>
    <w:rsid w:val="000F3415"/>
    <w:rsid w:val="000F62F5"/>
    <w:rsid w:val="000F66AA"/>
    <w:rsid w:val="000F681B"/>
    <w:rsid w:val="00100CB8"/>
    <w:rsid w:val="00103096"/>
    <w:rsid w:val="00111D2B"/>
    <w:rsid w:val="00112C57"/>
    <w:rsid w:val="001169AF"/>
    <w:rsid w:val="00133E72"/>
    <w:rsid w:val="00140BA4"/>
    <w:rsid w:val="001425D0"/>
    <w:rsid w:val="001501D3"/>
    <w:rsid w:val="001532CE"/>
    <w:rsid w:val="00160040"/>
    <w:rsid w:val="001732F6"/>
    <w:rsid w:val="00183522"/>
    <w:rsid w:val="001950AA"/>
    <w:rsid w:val="001B2022"/>
    <w:rsid w:val="001B527F"/>
    <w:rsid w:val="001C1599"/>
    <w:rsid w:val="001D3950"/>
    <w:rsid w:val="001F3CF9"/>
    <w:rsid w:val="001F73C8"/>
    <w:rsid w:val="00205168"/>
    <w:rsid w:val="0021144B"/>
    <w:rsid w:val="00212B56"/>
    <w:rsid w:val="00217F44"/>
    <w:rsid w:val="00230D2E"/>
    <w:rsid w:val="00235C76"/>
    <w:rsid w:val="002418E0"/>
    <w:rsid w:val="0024675D"/>
    <w:rsid w:val="00246995"/>
    <w:rsid w:val="00247767"/>
    <w:rsid w:val="002543CC"/>
    <w:rsid w:val="00255B60"/>
    <w:rsid w:val="00261463"/>
    <w:rsid w:val="00265EAB"/>
    <w:rsid w:val="00281269"/>
    <w:rsid w:val="0028630A"/>
    <w:rsid w:val="00290E19"/>
    <w:rsid w:val="002916B3"/>
    <w:rsid w:val="00296A2C"/>
    <w:rsid w:val="002B3D8E"/>
    <w:rsid w:val="002D2AA1"/>
    <w:rsid w:val="002D440C"/>
    <w:rsid w:val="002D48CB"/>
    <w:rsid w:val="002D6A29"/>
    <w:rsid w:val="002D7D7C"/>
    <w:rsid w:val="002E2E43"/>
    <w:rsid w:val="002E4C1A"/>
    <w:rsid w:val="002E4C97"/>
    <w:rsid w:val="002E70EF"/>
    <w:rsid w:val="002F3B73"/>
    <w:rsid w:val="00301DD7"/>
    <w:rsid w:val="00304219"/>
    <w:rsid w:val="0032309A"/>
    <w:rsid w:val="00324BE2"/>
    <w:rsid w:val="00327645"/>
    <w:rsid w:val="00332FB2"/>
    <w:rsid w:val="00335A4C"/>
    <w:rsid w:val="00343B1B"/>
    <w:rsid w:val="00343F3E"/>
    <w:rsid w:val="00347544"/>
    <w:rsid w:val="003502C6"/>
    <w:rsid w:val="003604D8"/>
    <w:rsid w:val="00361B7B"/>
    <w:rsid w:val="0036238E"/>
    <w:rsid w:val="0036567B"/>
    <w:rsid w:val="00370E7A"/>
    <w:rsid w:val="00372A0B"/>
    <w:rsid w:val="003737C6"/>
    <w:rsid w:val="00381123"/>
    <w:rsid w:val="00381D0F"/>
    <w:rsid w:val="00384DB7"/>
    <w:rsid w:val="00386A77"/>
    <w:rsid w:val="003942D4"/>
    <w:rsid w:val="003A2DAD"/>
    <w:rsid w:val="003A2F08"/>
    <w:rsid w:val="003A61F4"/>
    <w:rsid w:val="003B0F60"/>
    <w:rsid w:val="003B262E"/>
    <w:rsid w:val="003B616E"/>
    <w:rsid w:val="003B7C51"/>
    <w:rsid w:val="003C1FAB"/>
    <w:rsid w:val="003D353C"/>
    <w:rsid w:val="003E003A"/>
    <w:rsid w:val="003F0C28"/>
    <w:rsid w:val="003F2B3F"/>
    <w:rsid w:val="004002B6"/>
    <w:rsid w:val="00403B96"/>
    <w:rsid w:val="004169BD"/>
    <w:rsid w:val="00420805"/>
    <w:rsid w:val="00421E2A"/>
    <w:rsid w:val="00423355"/>
    <w:rsid w:val="00424DA1"/>
    <w:rsid w:val="00427B5E"/>
    <w:rsid w:val="004318E7"/>
    <w:rsid w:val="004326E3"/>
    <w:rsid w:val="00435D29"/>
    <w:rsid w:val="004368D7"/>
    <w:rsid w:val="00446CB2"/>
    <w:rsid w:val="00457960"/>
    <w:rsid w:val="004600D8"/>
    <w:rsid w:val="00461565"/>
    <w:rsid w:val="00462081"/>
    <w:rsid w:val="00471160"/>
    <w:rsid w:val="00472707"/>
    <w:rsid w:val="00472F15"/>
    <w:rsid w:val="00486111"/>
    <w:rsid w:val="0049491E"/>
    <w:rsid w:val="004973CB"/>
    <w:rsid w:val="004A7AE4"/>
    <w:rsid w:val="004A7B54"/>
    <w:rsid w:val="004B7579"/>
    <w:rsid w:val="004B7EDF"/>
    <w:rsid w:val="004D0691"/>
    <w:rsid w:val="004D15C8"/>
    <w:rsid w:val="004D27C7"/>
    <w:rsid w:val="004D5593"/>
    <w:rsid w:val="004E1FE0"/>
    <w:rsid w:val="004E2613"/>
    <w:rsid w:val="004E5484"/>
    <w:rsid w:val="004E5D43"/>
    <w:rsid w:val="004E6B21"/>
    <w:rsid w:val="004F44D8"/>
    <w:rsid w:val="005035CD"/>
    <w:rsid w:val="0050577F"/>
    <w:rsid w:val="005072AA"/>
    <w:rsid w:val="00541623"/>
    <w:rsid w:val="00547390"/>
    <w:rsid w:val="00552AF9"/>
    <w:rsid w:val="0055615D"/>
    <w:rsid w:val="005670C5"/>
    <w:rsid w:val="005764D6"/>
    <w:rsid w:val="0057787E"/>
    <w:rsid w:val="00581DDA"/>
    <w:rsid w:val="00583083"/>
    <w:rsid w:val="0058697D"/>
    <w:rsid w:val="00587063"/>
    <w:rsid w:val="00587956"/>
    <w:rsid w:val="00587E72"/>
    <w:rsid w:val="005A3DB1"/>
    <w:rsid w:val="005B42DC"/>
    <w:rsid w:val="005B551E"/>
    <w:rsid w:val="005B73FD"/>
    <w:rsid w:val="005C1E19"/>
    <w:rsid w:val="005C33C0"/>
    <w:rsid w:val="005C619A"/>
    <w:rsid w:val="005D38CE"/>
    <w:rsid w:val="005E795B"/>
    <w:rsid w:val="005F197A"/>
    <w:rsid w:val="005F2065"/>
    <w:rsid w:val="00610065"/>
    <w:rsid w:val="006119C6"/>
    <w:rsid w:val="0061672E"/>
    <w:rsid w:val="006206B0"/>
    <w:rsid w:val="006211AF"/>
    <w:rsid w:val="00626A31"/>
    <w:rsid w:val="00626B02"/>
    <w:rsid w:val="006275A8"/>
    <w:rsid w:val="00633886"/>
    <w:rsid w:val="006446A9"/>
    <w:rsid w:val="006501F5"/>
    <w:rsid w:val="00652ADE"/>
    <w:rsid w:val="00654336"/>
    <w:rsid w:val="00655223"/>
    <w:rsid w:val="006557F7"/>
    <w:rsid w:val="00662F31"/>
    <w:rsid w:val="00666FF9"/>
    <w:rsid w:val="0068138D"/>
    <w:rsid w:val="00681926"/>
    <w:rsid w:val="00684498"/>
    <w:rsid w:val="00686B11"/>
    <w:rsid w:val="0069446D"/>
    <w:rsid w:val="00697F54"/>
    <w:rsid w:val="006A5C3A"/>
    <w:rsid w:val="006A7065"/>
    <w:rsid w:val="006B2EAA"/>
    <w:rsid w:val="006B6468"/>
    <w:rsid w:val="006B6CAC"/>
    <w:rsid w:val="006C1463"/>
    <w:rsid w:val="006C7925"/>
    <w:rsid w:val="006D12EF"/>
    <w:rsid w:val="006E7913"/>
    <w:rsid w:val="006F14F7"/>
    <w:rsid w:val="00704BBD"/>
    <w:rsid w:val="00711F21"/>
    <w:rsid w:val="00716514"/>
    <w:rsid w:val="0073576D"/>
    <w:rsid w:val="007362CD"/>
    <w:rsid w:val="00736ECE"/>
    <w:rsid w:val="0073763F"/>
    <w:rsid w:val="00740CA5"/>
    <w:rsid w:val="00742C7D"/>
    <w:rsid w:val="00747856"/>
    <w:rsid w:val="007500AE"/>
    <w:rsid w:val="00751B7E"/>
    <w:rsid w:val="0076070B"/>
    <w:rsid w:val="00773744"/>
    <w:rsid w:val="00774C05"/>
    <w:rsid w:val="007A2358"/>
    <w:rsid w:val="007B2261"/>
    <w:rsid w:val="007C68AC"/>
    <w:rsid w:val="007D028E"/>
    <w:rsid w:val="007D1667"/>
    <w:rsid w:val="007D1C4F"/>
    <w:rsid w:val="007D2E04"/>
    <w:rsid w:val="007D4E42"/>
    <w:rsid w:val="007E3348"/>
    <w:rsid w:val="007E5494"/>
    <w:rsid w:val="007E63BA"/>
    <w:rsid w:val="007E788F"/>
    <w:rsid w:val="008114FE"/>
    <w:rsid w:val="00813537"/>
    <w:rsid w:val="008226B2"/>
    <w:rsid w:val="008363E6"/>
    <w:rsid w:val="00841147"/>
    <w:rsid w:val="00843A97"/>
    <w:rsid w:val="0084525D"/>
    <w:rsid w:val="00851885"/>
    <w:rsid w:val="0085609B"/>
    <w:rsid w:val="00864369"/>
    <w:rsid w:val="00874F4A"/>
    <w:rsid w:val="00876EEE"/>
    <w:rsid w:val="00891DCA"/>
    <w:rsid w:val="00893FBD"/>
    <w:rsid w:val="00894D39"/>
    <w:rsid w:val="00895CB5"/>
    <w:rsid w:val="008A7308"/>
    <w:rsid w:val="008B3950"/>
    <w:rsid w:val="008B7838"/>
    <w:rsid w:val="008C2BFE"/>
    <w:rsid w:val="008C2CCE"/>
    <w:rsid w:val="008C47D4"/>
    <w:rsid w:val="008C4929"/>
    <w:rsid w:val="008C6860"/>
    <w:rsid w:val="008D2108"/>
    <w:rsid w:val="008D4CC8"/>
    <w:rsid w:val="008D4F17"/>
    <w:rsid w:val="008D573A"/>
    <w:rsid w:val="008D68D9"/>
    <w:rsid w:val="008E75DF"/>
    <w:rsid w:val="008E7ED0"/>
    <w:rsid w:val="008E7F57"/>
    <w:rsid w:val="008F11D3"/>
    <w:rsid w:val="008F14F4"/>
    <w:rsid w:val="008F33C7"/>
    <w:rsid w:val="0090108D"/>
    <w:rsid w:val="00901C8C"/>
    <w:rsid w:val="009028E9"/>
    <w:rsid w:val="00912D38"/>
    <w:rsid w:val="00932DE7"/>
    <w:rsid w:val="00933F91"/>
    <w:rsid w:val="00936D60"/>
    <w:rsid w:val="00940F49"/>
    <w:rsid w:val="00960FE1"/>
    <w:rsid w:val="00980020"/>
    <w:rsid w:val="0098036A"/>
    <w:rsid w:val="00986A40"/>
    <w:rsid w:val="0099415B"/>
    <w:rsid w:val="009A1A39"/>
    <w:rsid w:val="009A1C7F"/>
    <w:rsid w:val="009A2A25"/>
    <w:rsid w:val="009B15B1"/>
    <w:rsid w:val="009C2B12"/>
    <w:rsid w:val="009C33AB"/>
    <w:rsid w:val="009C3B38"/>
    <w:rsid w:val="009C6466"/>
    <w:rsid w:val="009C7F3B"/>
    <w:rsid w:val="009D13BD"/>
    <w:rsid w:val="009D3908"/>
    <w:rsid w:val="009E3B9B"/>
    <w:rsid w:val="009F46E0"/>
    <w:rsid w:val="009F4B37"/>
    <w:rsid w:val="009F67DD"/>
    <w:rsid w:val="00A0429F"/>
    <w:rsid w:val="00A10940"/>
    <w:rsid w:val="00A127C7"/>
    <w:rsid w:val="00A23C31"/>
    <w:rsid w:val="00A248A3"/>
    <w:rsid w:val="00A25F58"/>
    <w:rsid w:val="00A43E84"/>
    <w:rsid w:val="00A47227"/>
    <w:rsid w:val="00A5099A"/>
    <w:rsid w:val="00A511D7"/>
    <w:rsid w:val="00A56C39"/>
    <w:rsid w:val="00A72211"/>
    <w:rsid w:val="00A73BC0"/>
    <w:rsid w:val="00A80BBD"/>
    <w:rsid w:val="00A81051"/>
    <w:rsid w:val="00A9049F"/>
    <w:rsid w:val="00A90CC0"/>
    <w:rsid w:val="00A94B66"/>
    <w:rsid w:val="00AA1264"/>
    <w:rsid w:val="00AA1DFC"/>
    <w:rsid w:val="00AA2A64"/>
    <w:rsid w:val="00AB206E"/>
    <w:rsid w:val="00AB231C"/>
    <w:rsid w:val="00AB4493"/>
    <w:rsid w:val="00AC056E"/>
    <w:rsid w:val="00AC3DF2"/>
    <w:rsid w:val="00AC6387"/>
    <w:rsid w:val="00AC7419"/>
    <w:rsid w:val="00AD3CD5"/>
    <w:rsid w:val="00AD6D6B"/>
    <w:rsid w:val="00AE1B14"/>
    <w:rsid w:val="00AF106B"/>
    <w:rsid w:val="00AF3BB6"/>
    <w:rsid w:val="00AF64D2"/>
    <w:rsid w:val="00B01707"/>
    <w:rsid w:val="00B0518C"/>
    <w:rsid w:val="00B06A9C"/>
    <w:rsid w:val="00B07085"/>
    <w:rsid w:val="00B3062F"/>
    <w:rsid w:val="00B34CEF"/>
    <w:rsid w:val="00B504FA"/>
    <w:rsid w:val="00B51234"/>
    <w:rsid w:val="00B51449"/>
    <w:rsid w:val="00B51C7C"/>
    <w:rsid w:val="00B54DD8"/>
    <w:rsid w:val="00B62955"/>
    <w:rsid w:val="00B670E3"/>
    <w:rsid w:val="00B74CB7"/>
    <w:rsid w:val="00B8181A"/>
    <w:rsid w:val="00B820F9"/>
    <w:rsid w:val="00B8388F"/>
    <w:rsid w:val="00B83906"/>
    <w:rsid w:val="00B839FA"/>
    <w:rsid w:val="00B8757B"/>
    <w:rsid w:val="00B93F3A"/>
    <w:rsid w:val="00BA63B3"/>
    <w:rsid w:val="00BC1218"/>
    <w:rsid w:val="00BC225F"/>
    <w:rsid w:val="00BC60F8"/>
    <w:rsid w:val="00BD1273"/>
    <w:rsid w:val="00BD2FE6"/>
    <w:rsid w:val="00BD6377"/>
    <w:rsid w:val="00BE230D"/>
    <w:rsid w:val="00BF1FD9"/>
    <w:rsid w:val="00C00C39"/>
    <w:rsid w:val="00C022A6"/>
    <w:rsid w:val="00C02466"/>
    <w:rsid w:val="00C03ACF"/>
    <w:rsid w:val="00C06076"/>
    <w:rsid w:val="00C10582"/>
    <w:rsid w:val="00C10921"/>
    <w:rsid w:val="00C14F18"/>
    <w:rsid w:val="00C46D4B"/>
    <w:rsid w:val="00C52FB9"/>
    <w:rsid w:val="00C534D6"/>
    <w:rsid w:val="00C54F89"/>
    <w:rsid w:val="00C6012B"/>
    <w:rsid w:val="00C64639"/>
    <w:rsid w:val="00C701A6"/>
    <w:rsid w:val="00C72BD4"/>
    <w:rsid w:val="00C73B3E"/>
    <w:rsid w:val="00C769F5"/>
    <w:rsid w:val="00C86DBE"/>
    <w:rsid w:val="00C86E65"/>
    <w:rsid w:val="00C952FB"/>
    <w:rsid w:val="00C95F51"/>
    <w:rsid w:val="00CA02B9"/>
    <w:rsid w:val="00CA34EE"/>
    <w:rsid w:val="00CA6B74"/>
    <w:rsid w:val="00CA6B92"/>
    <w:rsid w:val="00CA76CA"/>
    <w:rsid w:val="00CB01FE"/>
    <w:rsid w:val="00CB7676"/>
    <w:rsid w:val="00CC39B3"/>
    <w:rsid w:val="00CC7433"/>
    <w:rsid w:val="00CD5965"/>
    <w:rsid w:val="00CD7BE3"/>
    <w:rsid w:val="00CE01C9"/>
    <w:rsid w:val="00CE119B"/>
    <w:rsid w:val="00CE3947"/>
    <w:rsid w:val="00CE4081"/>
    <w:rsid w:val="00CE6AC5"/>
    <w:rsid w:val="00CE6F04"/>
    <w:rsid w:val="00CF0A16"/>
    <w:rsid w:val="00CF5166"/>
    <w:rsid w:val="00CF68BE"/>
    <w:rsid w:val="00D01583"/>
    <w:rsid w:val="00D078E5"/>
    <w:rsid w:val="00D1138A"/>
    <w:rsid w:val="00D117BC"/>
    <w:rsid w:val="00D13DB0"/>
    <w:rsid w:val="00D143A6"/>
    <w:rsid w:val="00D1468F"/>
    <w:rsid w:val="00D27176"/>
    <w:rsid w:val="00D27E21"/>
    <w:rsid w:val="00D33ED6"/>
    <w:rsid w:val="00D356AA"/>
    <w:rsid w:val="00D45C4E"/>
    <w:rsid w:val="00D45E90"/>
    <w:rsid w:val="00D54AD8"/>
    <w:rsid w:val="00D56A9A"/>
    <w:rsid w:val="00D573A6"/>
    <w:rsid w:val="00D6195E"/>
    <w:rsid w:val="00D623D3"/>
    <w:rsid w:val="00D9047B"/>
    <w:rsid w:val="00DA0400"/>
    <w:rsid w:val="00DB51A7"/>
    <w:rsid w:val="00DB73DB"/>
    <w:rsid w:val="00DC4EDC"/>
    <w:rsid w:val="00DD0541"/>
    <w:rsid w:val="00DD319D"/>
    <w:rsid w:val="00DD3C43"/>
    <w:rsid w:val="00DD5570"/>
    <w:rsid w:val="00DF0EFB"/>
    <w:rsid w:val="00DF3059"/>
    <w:rsid w:val="00E13BAF"/>
    <w:rsid w:val="00E242A3"/>
    <w:rsid w:val="00E25A3B"/>
    <w:rsid w:val="00E460B7"/>
    <w:rsid w:val="00E4614C"/>
    <w:rsid w:val="00E46346"/>
    <w:rsid w:val="00E46A2B"/>
    <w:rsid w:val="00E507DD"/>
    <w:rsid w:val="00E54A1E"/>
    <w:rsid w:val="00E61769"/>
    <w:rsid w:val="00E63655"/>
    <w:rsid w:val="00E67089"/>
    <w:rsid w:val="00E81AE1"/>
    <w:rsid w:val="00E84BC6"/>
    <w:rsid w:val="00E8570F"/>
    <w:rsid w:val="00E87378"/>
    <w:rsid w:val="00E95185"/>
    <w:rsid w:val="00EB32E8"/>
    <w:rsid w:val="00EB4BDB"/>
    <w:rsid w:val="00ED0A1E"/>
    <w:rsid w:val="00ED36F1"/>
    <w:rsid w:val="00EE034C"/>
    <w:rsid w:val="00EE4318"/>
    <w:rsid w:val="00EE433F"/>
    <w:rsid w:val="00EE6760"/>
    <w:rsid w:val="00EF15BF"/>
    <w:rsid w:val="00EF4285"/>
    <w:rsid w:val="00EF4CB0"/>
    <w:rsid w:val="00EF7798"/>
    <w:rsid w:val="00F13749"/>
    <w:rsid w:val="00F21747"/>
    <w:rsid w:val="00F232CB"/>
    <w:rsid w:val="00F23733"/>
    <w:rsid w:val="00F2543E"/>
    <w:rsid w:val="00F2593E"/>
    <w:rsid w:val="00F2731C"/>
    <w:rsid w:val="00F3298F"/>
    <w:rsid w:val="00F3365F"/>
    <w:rsid w:val="00F33FF8"/>
    <w:rsid w:val="00F37DD9"/>
    <w:rsid w:val="00F4585B"/>
    <w:rsid w:val="00F46F59"/>
    <w:rsid w:val="00F5178E"/>
    <w:rsid w:val="00F53853"/>
    <w:rsid w:val="00F57DB8"/>
    <w:rsid w:val="00F61AF5"/>
    <w:rsid w:val="00F61D45"/>
    <w:rsid w:val="00F64760"/>
    <w:rsid w:val="00F65DBA"/>
    <w:rsid w:val="00F676B2"/>
    <w:rsid w:val="00F74985"/>
    <w:rsid w:val="00F7505A"/>
    <w:rsid w:val="00F75ADF"/>
    <w:rsid w:val="00F769B9"/>
    <w:rsid w:val="00F77DD8"/>
    <w:rsid w:val="00F90806"/>
    <w:rsid w:val="00F91B9C"/>
    <w:rsid w:val="00F922E0"/>
    <w:rsid w:val="00FC567C"/>
    <w:rsid w:val="00FC6523"/>
    <w:rsid w:val="00FD1DF3"/>
    <w:rsid w:val="00FE7487"/>
    <w:rsid w:val="00FE7F97"/>
    <w:rsid w:val="00FF1B81"/>
    <w:rsid w:val="043C1696"/>
    <w:rsid w:val="047901F8"/>
    <w:rsid w:val="073C49BA"/>
    <w:rsid w:val="08B01417"/>
    <w:rsid w:val="0BCB3094"/>
    <w:rsid w:val="0EBA7F80"/>
    <w:rsid w:val="101331CF"/>
    <w:rsid w:val="13E90062"/>
    <w:rsid w:val="17E34DFD"/>
    <w:rsid w:val="1ADF6575"/>
    <w:rsid w:val="1D8450A7"/>
    <w:rsid w:val="1D865CD4"/>
    <w:rsid w:val="2017057F"/>
    <w:rsid w:val="247012E2"/>
    <w:rsid w:val="25D023DC"/>
    <w:rsid w:val="27A50450"/>
    <w:rsid w:val="28080497"/>
    <w:rsid w:val="29F7045E"/>
    <w:rsid w:val="2A601FAB"/>
    <w:rsid w:val="2C32793C"/>
    <w:rsid w:val="2D3A0042"/>
    <w:rsid w:val="336F17A0"/>
    <w:rsid w:val="39F627E1"/>
    <w:rsid w:val="3CB81BA1"/>
    <w:rsid w:val="3DBE26B6"/>
    <w:rsid w:val="44181529"/>
    <w:rsid w:val="46ED284B"/>
    <w:rsid w:val="47B05A95"/>
    <w:rsid w:val="4B5A38B8"/>
    <w:rsid w:val="547C7A1A"/>
    <w:rsid w:val="57757443"/>
    <w:rsid w:val="5A237062"/>
    <w:rsid w:val="5AB15648"/>
    <w:rsid w:val="5C56150A"/>
    <w:rsid w:val="5D5678AE"/>
    <w:rsid w:val="5EE8222F"/>
    <w:rsid w:val="603D68F1"/>
    <w:rsid w:val="622631E1"/>
    <w:rsid w:val="68616F36"/>
    <w:rsid w:val="689D062F"/>
    <w:rsid w:val="6B4229A8"/>
    <w:rsid w:val="6D044188"/>
    <w:rsid w:val="76AB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rPr>
  </w:style>
  <w:style w:type="paragraph" w:styleId="4">
    <w:name w:val="Document Map"/>
    <w:basedOn w:val="1"/>
    <w:semiHidden/>
    <w:qFormat/>
    <w:uiPriority w:val="0"/>
    <w:pPr>
      <w:shd w:val="clear" w:color="auto" w:fill="000080"/>
    </w:pPr>
  </w:style>
  <w:style w:type="paragraph" w:styleId="5">
    <w:name w:val="Body Text"/>
    <w:basedOn w:val="1"/>
    <w:qFormat/>
    <w:uiPriority w:val="0"/>
    <w:pPr>
      <w:snapToGrid w:val="0"/>
      <w:spacing w:line="560" w:lineRule="exact"/>
      <w:jc w:val="center"/>
    </w:pPr>
    <w:rPr>
      <w:rFonts w:ascii="黑体" w:eastAsia="黑体"/>
      <w:b/>
      <w:sz w:val="44"/>
    </w:rPr>
  </w:style>
  <w:style w:type="paragraph" w:styleId="6">
    <w:name w:val="Body Text Indent"/>
    <w:basedOn w:val="1"/>
    <w:qFormat/>
    <w:uiPriority w:val="0"/>
    <w:pPr>
      <w:ind w:firstLine="630"/>
    </w:pPr>
    <w:rPr>
      <w:rFonts w:ascii="仿宋_GB2312" w:eastAsia="仿宋_GB2312"/>
      <w:sz w:val="32"/>
    </w:rPr>
  </w:style>
  <w:style w:type="paragraph" w:styleId="7">
    <w:name w:val="Date"/>
    <w:basedOn w:val="1"/>
    <w:next w:val="1"/>
    <w:qFormat/>
    <w:uiPriority w:val="0"/>
    <w:rPr>
      <w:rFonts w:ascii="仿宋_GB2312" w:eastAsia="仿宋_GB2312"/>
      <w:sz w:val="32"/>
    </w:rPr>
  </w:style>
  <w:style w:type="paragraph" w:styleId="8">
    <w:name w:val="Body Text Indent 2"/>
    <w:basedOn w:val="1"/>
    <w:qFormat/>
    <w:uiPriority w:val="0"/>
    <w:pPr>
      <w:ind w:firstLine="630"/>
    </w:pPr>
    <w:rPr>
      <w:rFonts w:eastAsia="仿宋_GB2312"/>
      <w:sz w:val="3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560" w:lineRule="exact"/>
      <w:ind w:firstLine="560"/>
    </w:pPr>
    <w:rPr>
      <w:rFonts w:eastAsia="仿宋_GB2312"/>
      <w:sz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Title"/>
    <w:basedOn w:val="1"/>
    <w:qFormat/>
    <w:uiPriority w:val="0"/>
    <w:pPr>
      <w:spacing w:before="240" w:after="60"/>
      <w:jc w:val="center"/>
      <w:outlineLvl w:val="0"/>
    </w:pPr>
    <w:rPr>
      <w:rFonts w:ascii="Arial" w:hAnsi="Arial" w:cs="Arial"/>
      <w:b/>
      <w:bCs/>
      <w:sz w:val="32"/>
      <w:szCs w:val="32"/>
    </w:rPr>
  </w:style>
  <w:style w:type="table" w:styleId="16">
    <w:name w:val="Table Grid"/>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yperlink"/>
    <w:qFormat/>
    <w:uiPriority w:val="0"/>
    <w:rPr>
      <w:color w:val="0000FF"/>
      <w:u w:val="single"/>
    </w:rPr>
  </w:style>
  <w:style w:type="character" w:customStyle="1" w:styleId="21">
    <w:name w:val="big"/>
    <w:basedOn w:val="17"/>
    <w:qFormat/>
    <w:uiPriority w:val="0"/>
  </w:style>
  <w:style w:type="paragraph" w:styleId="22">
    <w:name w:val="List Paragraph"/>
    <w:basedOn w:val="1"/>
    <w:qFormat/>
    <w:uiPriority w:val="34"/>
    <w:pPr>
      <w:ind w:firstLine="420" w:firstLineChars="200"/>
    </w:pPr>
    <w:rPr>
      <w:szCs w:val="24"/>
    </w:rPr>
  </w:style>
  <w:style w:type="paragraph" w:customStyle="1" w:styleId="23">
    <w:name w:val="报告正文"/>
    <w:basedOn w:val="1"/>
    <w:link w:val="24"/>
    <w:qFormat/>
    <w:uiPriority w:val="0"/>
    <w:pPr>
      <w:adjustRightInd w:val="0"/>
      <w:spacing w:line="360" w:lineRule="auto"/>
      <w:ind w:firstLine="200" w:firstLineChars="200"/>
    </w:pPr>
    <w:rPr>
      <w:rFonts w:eastAsia="仿宋_GB2312"/>
      <w:sz w:val="24"/>
      <w:szCs w:val="24"/>
      <w:lang w:val="en-GB"/>
    </w:rPr>
  </w:style>
  <w:style w:type="character" w:customStyle="1" w:styleId="24">
    <w:name w:val="报告正文 Char1"/>
    <w:link w:val="23"/>
    <w:qFormat/>
    <w:uiPriority w:val="0"/>
    <w:rPr>
      <w:rFonts w:eastAsia="仿宋_GB2312"/>
      <w:kern w:val="2"/>
      <w:sz w:val="24"/>
      <w:szCs w:val="24"/>
      <w:lang w:val="en-GB"/>
    </w:rPr>
  </w:style>
  <w:style w:type="paragraph" w:customStyle="1" w:styleId="25">
    <w:name w:val="二级条标题"/>
    <w:basedOn w:val="1"/>
    <w:next w:val="1"/>
    <w:qFormat/>
    <w:uiPriority w:val="0"/>
    <w:pPr>
      <w:widowControl/>
      <w:ind w:left="1785"/>
      <w:jc w:val="left"/>
      <w:outlineLvl w:val="3"/>
    </w:pPr>
    <w:rPr>
      <w:rFonts w:eastAsia="黑体"/>
      <w:kern w:val="0"/>
    </w:rPr>
  </w:style>
  <w:style w:type="table" w:customStyle="1" w:styleId="26">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Template>
  <Company>个人电脑</Company>
  <Pages>9</Pages>
  <Words>3172</Words>
  <Characters>3464</Characters>
  <Lines>3</Lines>
  <Paragraphs>1</Paragraphs>
  <TotalTime>157</TotalTime>
  <ScaleCrop>false</ScaleCrop>
  <LinksUpToDate>false</LinksUpToDate>
  <CharactersWithSpaces>3533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2013-02-18T09:24:00Z</dcterms:created>
  <dc:creator>fz</dc:creator>
  <cp:lastModifiedBy>刘金月</cp:lastModifiedBy>
  <cp:lastPrinted>2023-01-05T07:11:00Z</cp:lastPrinted>
  <dcterms:modified xsi:type="dcterms:W3CDTF">2024-06-27T05:43:49Z</dcterms:modified>
  <dc:title>0000001</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E604CCB30B8C4D608990E1F5BE82F8B8_13</vt:lpwstr>
  </property>
</Properties>
</file>