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B1EDDE">
      <w:pPr>
        <w:spacing w:line="560" w:lineRule="exact"/>
        <w:jc w:val="center"/>
        <w:rPr>
          <w:rFonts w:hint="eastAsia" w:ascii="黑体" w:hAnsi="黑体" w:eastAsia="黑体" w:cs="黑体"/>
          <w:sz w:val="44"/>
          <w:szCs w:val="44"/>
        </w:rPr>
      </w:pPr>
      <w:r>
        <w:rPr>
          <w:rFonts w:hint="eastAsia" w:ascii="黑体" w:hAnsi="黑体" w:eastAsia="黑体" w:cs="黑体"/>
          <w:sz w:val="44"/>
          <w:szCs w:val="44"/>
        </w:rPr>
        <w:t>关于开展</w:t>
      </w:r>
      <w:r>
        <w:rPr>
          <w:rFonts w:hint="eastAsia" w:ascii="黑体" w:hAnsi="黑体" w:eastAsia="黑体" w:cs="黑体"/>
          <w:sz w:val="44"/>
          <w:szCs w:val="44"/>
          <w:lang w:val="en-US" w:eastAsia="zh-CN"/>
        </w:rPr>
        <w:t>2026年12月-2027年2月</w:t>
      </w:r>
      <w:r>
        <w:rPr>
          <w:rFonts w:hint="eastAsia" w:ascii="黑体" w:hAnsi="黑体" w:eastAsia="黑体" w:cs="黑体"/>
          <w:sz w:val="44"/>
          <w:szCs w:val="44"/>
        </w:rPr>
        <w:t>安平管道天然气竞价交易的公告</w:t>
      </w:r>
    </w:p>
    <w:p w14:paraId="75FF5B3A">
      <w:pPr>
        <w:spacing w:line="560" w:lineRule="exact"/>
        <w:ind w:firstLine="2240" w:firstLineChars="700"/>
        <w:jc w:val="left"/>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交易中心办〔2026〕第</w:t>
      </w:r>
      <w:r>
        <w:rPr>
          <w:rFonts w:hint="eastAsia" w:ascii="黑体" w:hAnsi="黑体" w:eastAsia="黑体" w:cs="黑体"/>
          <w:color w:val="000000" w:themeColor="text1"/>
          <w:sz w:val="32"/>
          <w:szCs w:val="32"/>
          <w:highlight w:val="none"/>
          <w:lang w:val="en-US" w:eastAsia="zh-CN"/>
          <w14:textFill>
            <w14:solidFill>
              <w14:schemeClr w14:val="tx1"/>
            </w14:solidFill>
          </w14:textFill>
        </w:rPr>
        <w:t>333</w:t>
      </w:r>
      <w:r>
        <w:rPr>
          <w:rFonts w:hint="eastAsia" w:ascii="黑体" w:hAnsi="黑体" w:eastAsia="黑体" w:cs="黑体"/>
          <w:color w:val="000000" w:themeColor="text1"/>
          <w:sz w:val="32"/>
          <w:szCs w:val="32"/>
          <w14:textFill>
            <w14:solidFill>
              <w14:schemeClr w14:val="tx1"/>
            </w14:solidFill>
          </w14:textFill>
        </w:rPr>
        <w:t>号</w:t>
      </w:r>
    </w:p>
    <w:p w14:paraId="605BAA64">
      <w:pPr>
        <w:spacing w:line="560" w:lineRule="exact"/>
        <w:rPr>
          <w:rFonts w:hint="eastAsia" w:ascii="方正仿宋简体" w:hAnsi="方正仿宋简体" w:eastAsia="方正仿宋简体" w:cs="方正仿宋简体"/>
          <w:color w:val="000000" w:themeColor="text1"/>
          <w:sz w:val="32"/>
          <w:szCs w:val="32"/>
          <w14:textFill>
            <w14:solidFill>
              <w14:schemeClr w14:val="tx1"/>
            </w14:solidFill>
          </w14:textFill>
        </w:rPr>
      </w:pPr>
    </w:p>
    <w:p w14:paraId="37A4B4F1">
      <w:pPr>
        <w:spacing w:line="560" w:lineRule="exact"/>
        <w:ind w:firstLine="640"/>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为进一步响应国家天然气市场化改革要求，服务行业健康持续稳定发展，</w:t>
      </w:r>
      <w:bookmarkStart w:id="0" w:name="OLE_LINK1"/>
      <w:r>
        <w:rPr>
          <w:rFonts w:hint="eastAsia" w:ascii="仿宋" w:hAnsi="仿宋" w:eastAsia="仿宋" w:cs="仿宋"/>
          <w:color w:val="000000" w:themeColor="text1"/>
          <w:sz w:val="32"/>
          <w:szCs w:val="32"/>
          <w14:textFill>
            <w14:solidFill>
              <w14:schemeClr w14:val="tx1"/>
            </w14:solidFill>
          </w14:textFill>
        </w:rPr>
        <w:t>上海石油天然气交易中心（下称“上海交易中心”）拟定于2026年</w:t>
      </w:r>
      <w:r>
        <w:rPr>
          <w:rFonts w:hint="eastAsia" w:ascii="仿宋" w:hAnsi="仿宋" w:eastAsia="仿宋" w:cs="仿宋"/>
          <w:color w:val="000000" w:themeColor="text1"/>
          <w:sz w:val="32"/>
          <w:szCs w:val="32"/>
          <w:lang w:val="en-US" w:eastAsia="zh-CN"/>
          <w14:textFill>
            <w14:solidFill>
              <w14:schemeClr w14:val="tx1"/>
            </w14:solidFill>
          </w14:textFill>
        </w:rPr>
        <w:t>9</w:t>
      </w:r>
      <w:r>
        <w:rPr>
          <w:rFonts w:hint="eastAsia" w:ascii="仿宋" w:hAnsi="仿宋" w:eastAsia="仿宋" w:cs="仿宋"/>
          <w:color w:val="000000" w:themeColor="text1"/>
          <w:sz w:val="32"/>
          <w:szCs w:val="32"/>
          <w14:textFill>
            <w14:solidFill>
              <w14:schemeClr w14:val="tx1"/>
            </w14:solidFill>
          </w14:textFill>
        </w:rPr>
        <w:t>月</w:t>
      </w:r>
      <w:r>
        <w:rPr>
          <w:rFonts w:hint="eastAsia" w:ascii="仿宋" w:hAnsi="仿宋" w:eastAsia="仿宋" w:cs="仿宋"/>
          <w:color w:val="000000" w:themeColor="text1"/>
          <w:sz w:val="32"/>
          <w:szCs w:val="32"/>
          <w:lang w:val="en-US" w:eastAsia="zh-CN"/>
          <w14:textFill>
            <w14:solidFill>
              <w14:schemeClr w14:val="tx1"/>
            </w14:solidFill>
          </w14:textFill>
        </w:rPr>
        <w:t>29</w:t>
      </w:r>
      <w:r>
        <w:rPr>
          <w:rFonts w:hint="eastAsia" w:ascii="仿宋" w:hAnsi="仿宋" w:eastAsia="仿宋" w:cs="仿宋"/>
          <w:color w:val="000000" w:themeColor="text1"/>
          <w:sz w:val="32"/>
          <w:szCs w:val="32"/>
          <w14:textFill>
            <w14:solidFill>
              <w14:schemeClr w14:val="tx1"/>
            </w14:solidFill>
          </w14:textFill>
        </w:rPr>
        <w:t>日开展安平管道天然气竞价交易。</w:t>
      </w:r>
      <w:bookmarkEnd w:id="0"/>
      <w:r>
        <w:rPr>
          <w:rFonts w:hint="eastAsia" w:ascii="仿宋" w:hAnsi="仿宋" w:eastAsia="仿宋" w:cs="仿宋"/>
          <w:color w:val="000000" w:themeColor="text1"/>
          <w:sz w:val="32"/>
          <w:szCs w:val="32"/>
          <w14:textFill>
            <w14:solidFill>
              <w14:schemeClr w14:val="tx1"/>
            </w14:solidFill>
          </w14:textFill>
        </w:rPr>
        <w:t>具体公告如下：</w:t>
      </w:r>
    </w:p>
    <w:p w14:paraId="44BE49A2">
      <w:pPr>
        <w:spacing w:before="156" w:beforeLines="50" w:line="560" w:lineRule="exact"/>
        <w:ind w:firstLine="643" w:firstLineChars="200"/>
        <w:rPr>
          <w:rFonts w:hint="eastAsia" w:ascii="仿宋" w:hAnsi="仿宋" w:eastAsia="仿宋" w:cs="仿宋"/>
          <w:b/>
          <w:color w:val="000000" w:themeColor="text1"/>
          <w:sz w:val="32"/>
          <w:szCs w:val="32"/>
          <w14:textFill>
            <w14:solidFill>
              <w14:schemeClr w14:val="tx1"/>
            </w14:solidFill>
          </w14:textFill>
        </w:rPr>
      </w:pPr>
      <w:r>
        <w:rPr>
          <w:rFonts w:hint="eastAsia" w:ascii="仿宋" w:hAnsi="仿宋" w:eastAsia="仿宋" w:cs="仿宋"/>
          <w:b/>
          <w:color w:val="000000" w:themeColor="text1"/>
          <w:sz w:val="32"/>
          <w:szCs w:val="32"/>
          <w14:textFill>
            <w14:solidFill>
              <w14:schemeClr w14:val="tx1"/>
            </w14:solidFill>
          </w14:textFill>
        </w:rPr>
        <w:t>一、报名时间</w:t>
      </w:r>
    </w:p>
    <w:p w14:paraId="531B9BA6">
      <w:pPr>
        <w:spacing w:line="560" w:lineRule="exact"/>
        <w:ind w:firstLine="640"/>
        <w:rPr>
          <w:rFonts w:hint="eastAsia" w:ascii="仿宋" w:hAnsi="仿宋" w:eastAsia="仿宋" w:cs="仿宋"/>
          <w:b/>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9</w:t>
      </w:r>
      <w:r>
        <w:rPr>
          <w:rFonts w:hint="eastAsia" w:ascii="仿宋" w:hAnsi="仿宋" w:eastAsia="仿宋" w:cs="仿宋"/>
          <w:color w:val="000000" w:themeColor="text1"/>
          <w:sz w:val="32"/>
          <w:szCs w:val="32"/>
          <w14:textFill>
            <w14:solidFill>
              <w14:schemeClr w14:val="tx1"/>
            </w14:solidFill>
          </w14:textFill>
        </w:rPr>
        <w:t>月</w:t>
      </w:r>
      <w:r>
        <w:rPr>
          <w:rFonts w:hint="eastAsia" w:ascii="仿宋" w:hAnsi="仿宋" w:eastAsia="仿宋" w:cs="仿宋"/>
          <w:color w:val="000000" w:themeColor="text1"/>
          <w:sz w:val="32"/>
          <w:szCs w:val="32"/>
          <w:lang w:val="en-US" w:eastAsia="zh-CN"/>
          <w14:textFill>
            <w14:solidFill>
              <w14:schemeClr w14:val="tx1"/>
            </w14:solidFill>
          </w14:textFill>
        </w:rPr>
        <w:t>24</w:t>
      </w:r>
      <w:r>
        <w:rPr>
          <w:rFonts w:hint="eastAsia" w:ascii="仿宋" w:hAnsi="仿宋" w:eastAsia="仿宋" w:cs="仿宋"/>
          <w:color w:val="000000" w:themeColor="text1"/>
          <w:sz w:val="32"/>
          <w:szCs w:val="32"/>
          <w14:textFill>
            <w14:solidFill>
              <w14:schemeClr w14:val="tx1"/>
            </w14:solidFill>
          </w14:textFill>
        </w:rPr>
        <w:t>日</w:t>
      </w:r>
      <w:r>
        <w:rPr>
          <w:rFonts w:hint="eastAsia" w:ascii="仿宋" w:hAnsi="仿宋" w:eastAsia="仿宋" w:cs="仿宋"/>
          <w:color w:val="000000" w:themeColor="text1"/>
          <w:sz w:val="32"/>
          <w:szCs w:val="32"/>
          <w:lang w:val="en-US" w:eastAsia="zh-CN"/>
          <w14:textFill>
            <w14:solidFill>
              <w14:schemeClr w14:val="tx1"/>
            </w14:solidFill>
          </w14:textFill>
        </w:rPr>
        <w:t>9</w:t>
      </w:r>
      <w:r>
        <w:rPr>
          <w:rFonts w:hint="eastAsia" w:ascii="仿宋" w:hAnsi="仿宋" w:eastAsia="仿宋" w:cs="仿宋"/>
          <w:color w:val="000000" w:themeColor="text1"/>
          <w:sz w:val="32"/>
          <w:szCs w:val="32"/>
          <w14:textFill>
            <w14:solidFill>
              <w14:schemeClr w14:val="tx1"/>
            </w14:solidFill>
          </w14:textFill>
        </w:rPr>
        <w:t>:00-</w:t>
      </w:r>
      <w:r>
        <w:rPr>
          <w:rFonts w:hint="eastAsia" w:ascii="仿宋" w:hAnsi="仿宋" w:eastAsia="仿宋" w:cs="仿宋"/>
          <w:color w:val="000000" w:themeColor="text1"/>
          <w:sz w:val="32"/>
          <w:szCs w:val="32"/>
          <w:lang w:val="en-US" w:eastAsia="zh-CN"/>
          <w14:textFill>
            <w14:solidFill>
              <w14:schemeClr w14:val="tx1"/>
            </w14:solidFill>
          </w14:textFill>
        </w:rPr>
        <w:t>9</w:t>
      </w:r>
      <w:r>
        <w:rPr>
          <w:rFonts w:hint="eastAsia" w:ascii="仿宋" w:hAnsi="仿宋" w:eastAsia="仿宋" w:cs="仿宋"/>
          <w:color w:val="000000" w:themeColor="text1"/>
          <w:sz w:val="32"/>
          <w:szCs w:val="32"/>
          <w14:textFill>
            <w14:solidFill>
              <w14:schemeClr w14:val="tx1"/>
            </w14:solidFill>
          </w14:textFill>
        </w:rPr>
        <w:t>月</w:t>
      </w:r>
      <w:r>
        <w:rPr>
          <w:rFonts w:hint="eastAsia" w:ascii="仿宋" w:hAnsi="仿宋" w:eastAsia="仿宋" w:cs="仿宋"/>
          <w:color w:val="000000" w:themeColor="text1"/>
          <w:sz w:val="32"/>
          <w:szCs w:val="32"/>
          <w:lang w:val="en-US" w:eastAsia="zh-CN"/>
          <w14:textFill>
            <w14:solidFill>
              <w14:schemeClr w14:val="tx1"/>
            </w14:solidFill>
          </w14:textFill>
        </w:rPr>
        <w:t>28</w:t>
      </w:r>
      <w:r>
        <w:rPr>
          <w:rFonts w:hint="eastAsia" w:ascii="仿宋" w:hAnsi="仿宋" w:eastAsia="仿宋" w:cs="仿宋"/>
          <w:color w:val="000000" w:themeColor="text1"/>
          <w:sz w:val="32"/>
          <w:szCs w:val="32"/>
          <w14:textFill>
            <w14:solidFill>
              <w14:schemeClr w14:val="tx1"/>
            </w14:solidFill>
          </w14:textFill>
        </w:rPr>
        <w:t>日</w:t>
      </w:r>
      <w:r>
        <w:rPr>
          <w:rFonts w:hint="eastAsia" w:ascii="仿宋" w:hAnsi="仿宋" w:eastAsia="仿宋" w:cs="仿宋"/>
          <w:color w:val="000000" w:themeColor="text1"/>
          <w:sz w:val="32"/>
          <w:szCs w:val="32"/>
          <w:lang w:val="en-US" w:eastAsia="zh-CN"/>
          <w14:textFill>
            <w14:solidFill>
              <w14:schemeClr w14:val="tx1"/>
            </w14:solidFill>
          </w14:textFill>
        </w:rPr>
        <w:t>16</w:t>
      </w:r>
      <w:r>
        <w:rPr>
          <w:rFonts w:hint="eastAsia" w:ascii="仿宋" w:hAnsi="仿宋" w:eastAsia="仿宋" w:cs="仿宋"/>
          <w:color w:val="000000" w:themeColor="text1"/>
          <w:sz w:val="32"/>
          <w:szCs w:val="32"/>
          <w14:textFill>
            <w14:solidFill>
              <w14:schemeClr w14:val="tx1"/>
            </w14:solidFill>
          </w14:textFill>
        </w:rPr>
        <w:t>:00。</w:t>
      </w:r>
    </w:p>
    <w:p w14:paraId="652F1A4D">
      <w:pPr>
        <w:spacing w:before="156" w:beforeLines="50" w:line="560" w:lineRule="exact"/>
        <w:ind w:firstLine="643" w:firstLineChars="200"/>
        <w:rPr>
          <w:rFonts w:hint="eastAsia" w:ascii="仿宋" w:hAnsi="仿宋" w:eastAsia="仿宋" w:cs="仿宋"/>
          <w:b/>
          <w:color w:val="000000" w:themeColor="text1"/>
          <w:sz w:val="32"/>
          <w:szCs w:val="32"/>
          <w14:textFill>
            <w14:solidFill>
              <w14:schemeClr w14:val="tx1"/>
            </w14:solidFill>
          </w14:textFill>
        </w:rPr>
      </w:pPr>
      <w:r>
        <w:rPr>
          <w:rFonts w:hint="eastAsia" w:ascii="仿宋" w:hAnsi="仿宋" w:eastAsia="仿宋" w:cs="仿宋"/>
          <w:b/>
          <w:color w:val="000000" w:themeColor="text1"/>
          <w:sz w:val="32"/>
          <w:szCs w:val="32"/>
          <w14:textFill>
            <w14:solidFill>
              <w14:schemeClr w14:val="tx1"/>
            </w14:solidFill>
          </w14:textFill>
        </w:rPr>
        <w:t>二、交易时间</w:t>
      </w:r>
    </w:p>
    <w:p w14:paraId="5B10E47F">
      <w:pPr>
        <w:spacing w:line="520" w:lineRule="exact"/>
        <w:ind w:firstLine="640"/>
        <w:rPr>
          <w:rFonts w:hint="eastAsia" w:ascii="仿宋" w:hAnsi="仿宋" w:eastAsia="仿宋" w:cs="仿宋"/>
          <w:bCs/>
          <w:sz w:val="32"/>
          <w:szCs w:val="32"/>
        </w:rPr>
      </w:pPr>
      <w:r>
        <w:rPr>
          <w:rFonts w:hint="eastAsia" w:ascii="仿宋" w:hAnsi="仿宋" w:eastAsia="仿宋" w:cs="仿宋"/>
          <w:bCs/>
          <w:sz w:val="32"/>
          <w:szCs w:val="32"/>
          <w:lang w:val="en-US" w:eastAsia="zh-CN"/>
        </w:rPr>
        <w:t>9</w:t>
      </w:r>
      <w:r>
        <w:rPr>
          <w:rFonts w:hint="eastAsia" w:ascii="仿宋" w:hAnsi="仿宋" w:eastAsia="仿宋" w:cs="仿宋"/>
          <w:bCs/>
          <w:sz w:val="32"/>
          <w:szCs w:val="32"/>
        </w:rPr>
        <w:t>月</w:t>
      </w:r>
      <w:r>
        <w:rPr>
          <w:rFonts w:hint="eastAsia" w:ascii="仿宋" w:hAnsi="仿宋" w:eastAsia="仿宋" w:cs="仿宋"/>
          <w:bCs/>
          <w:sz w:val="32"/>
          <w:szCs w:val="32"/>
          <w:lang w:val="en-US" w:eastAsia="zh-CN"/>
        </w:rPr>
        <w:t>29</w:t>
      </w:r>
      <w:r>
        <w:rPr>
          <w:rFonts w:hint="eastAsia" w:ascii="仿宋" w:hAnsi="仿宋" w:eastAsia="仿宋" w:cs="仿宋"/>
          <w:bCs/>
          <w:sz w:val="32"/>
          <w:szCs w:val="32"/>
        </w:rPr>
        <w:t>日</w:t>
      </w:r>
      <w:r>
        <w:rPr>
          <w:rFonts w:hint="eastAsia" w:ascii="仿宋" w:hAnsi="仿宋" w:eastAsia="仿宋" w:cs="仿宋"/>
          <w:bCs/>
          <w:sz w:val="32"/>
          <w:szCs w:val="32"/>
          <w:lang w:val="en-US" w:eastAsia="zh-CN"/>
        </w:rPr>
        <w:t>10</w:t>
      </w:r>
      <w:r>
        <w:rPr>
          <w:rFonts w:hint="eastAsia" w:ascii="仿宋" w:hAnsi="仿宋" w:eastAsia="仿宋" w:cs="仿宋"/>
          <w:bCs/>
          <w:sz w:val="32"/>
          <w:szCs w:val="32"/>
        </w:rPr>
        <w:t>:</w:t>
      </w:r>
      <w:r>
        <w:rPr>
          <w:rFonts w:hint="eastAsia" w:ascii="仿宋" w:hAnsi="仿宋" w:eastAsia="仿宋" w:cs="仿宋"/>
          <w:bCs/>
          <w:sz w:val="32"/>
          <w:szCs w:val="32"/>
          <w:lang w:val="en-US" w:eastAsia="zh-CN"/>
        </w:rPr>
        <w:t>30</w:t>
      </w:r>
      <w:r>
        <w:rPr>
          <w:rFonts w:hint="eastAsia" w:ascii="仿宋" w:hAnsi="仿宋" w:eastAsia="仿宋" w:cs="仿宋"/>
          <w:bCs/>
          <w:sz w:val="32"/>
          <w:szCs w:val="32"/>
        </w:rPr>
        <w:t>-</w:t>
      </w:r>
      <w:r>
        <w:rPr>
          <w:rFonts w:hint="eastAsia" w:ascii="仿宋" w:hAnsi="仿宋" w:eastAsia="仿宋" w:cs="仿宋"/>
          <w:bCs/>
          <w:sz w:val="32"/>
          <w:szCs w:val="32"/>
          <w:lang w:val="en-US" w:eastAsia="zh-CN"/>
        </w:rPr>
        <w:t>11</w:t>
      </w:r>
      <w:r>
        <w:rPr>
          <w:rFonts w:hint="eastAsia" w:ascii="仿宋" w:hAnsi="仿宋" w:eastAsia="仿宋" w:cs="仿宋"/>
          <w:bCs/>
          <w:sz w:val="32"/>
          <w:szCs w:val="32"/>
        </w:rPr>
        <w:t>:</w:t>
      </w:r>
      <w:r>
        <w:rPr>
          <w:rFonts w:hint="eastAsia" w:ascii="仿宋" w:hAnsi="仿宋" w:eastAsia="仿宋" w:cs="仿宋"/>
          <w:bCs/>
          <w:sz w:val="32"/>
          <w:szCs w:val="32"/>
          <w:lang w:val="en-US" w:eastAsia="zh-CN"/>
        </w:rPr>
        <w:t>00</w:t>
      </w:r>
      <w:r>
        <w:rPr>
          <w:rFonts w:hint="eastAsia" w:ascii="仿宋" w:hAnsi="仿宋" w:eastAsia="仿宋" w:cs="仿宋"/>
          <w:bCs/>
          <w:sz w:val="32"/>
          <w:szCs w:val="32"/>
        </w:rPr>
        <w:t>。</w:t>
      </w:r>
    </w:p>
    <w:p w14:paraId="321AC4E3">
      <w:pPr>
        <w:spacing w:before="156" w:beforeLines="50" w:line="560" w:lineRule="exact"/>
        <w:ind w:firstLine="643" w:firstLineChars="200"/>
        <w:rPr>
          <w:rFonts w:hint="eastAsia" w:ascii="仿宋" w:hAnsi="仿宋" w:eastAsia="仿宋" w:cs="仿宋"/>
          <w:b/>
          <w:color w:val="000000" w:themeColor="text1"/>
          <w:sz w:val="32"/>
          <w:szCs w:val="32"/>
          <w14:textFill>
            <w14:solidFill>
              <w14:schemeClr w14:val="tx1"/>
            </w14:solidFill>
          </w14:textFill>
        </w:rPr>
      </w:pPr>
      <w:r>
        <w:rPr>
          <w:rFonts w:hint="eastAsia" w:ascii="仿宋" w:hAnsi="仿宋" w:eastAsia="仿宋" w:cs="仿宋"/>
          <w:b/>
          <w:color w:val="000000" w:themeColor="text1"/>
          <w:sz w:val="32"/>
          <w:szCs w:val="32"/>
          <w14:textFill>
            <w14:solidFill>
              <w14:schemeClr w14:val="tx1"/>
            </w14:solidFill>
          </w14:textFill>
        </w:rPr>
        <w:t>三</w:t>
      </w:r>
      <w:r>
        <w:rPr>
          <w:rFonts w:ascii="仿宋" w:hAnsi="仿宋" w:eastAsia="仿宋" w:cs="仿宋"/>
          <w:b/>
          <w:color w:val="000000" w:themeColor="text1"/>
          <w:sz w:val="32"/>
          <w:szCs w:val="32"/>
          <w14:textFill>
            <w14:solidFill>
              <w14:schemeClr w14:val="tx1"/>
            </w14:solidFill>
          </w14:textFill>
        </w:rPr>
        <w:t>、</w:t>
      </w:r>
      <w:r>
        <w:rPr>
          <w:rFonts w:hint="eastAsia" w:ascii="仿宋" w:hAnsi="仿宋" w:eastAsia="仿宋" w:cs="仿宋"/>
          <w:b/>
          <w:color w:val="000000" w:themeColor="text1"/>
          <w:sz w:val="32"/>
          <w:szCs w:val="32"/>
          <w14:textFill>
            <w14:solidFill>
              <w14:schemeClr w14:val="tx1"/>
            </w14:solidFill>
          </w14:textFill>
        </w:rPr>
        <w:t>产品介绍</w:t>
      </w:r>
    </w:p>
    <w:p w14:paraId="48000FC2">
      <w:pPr>
        <w:spacing w:line="560" w:lineRule="exact"/>
        <w:ind w:firstLine="640" w:firstLineChars="200"/>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1.产品名称：天然气。</w:t>
      </w:r>
    </w:p>
    <w:p w14:paraId="45695068">
      <w:pPr>
        <w:spacing w:line="560" w:lineRule="exact"/>
        <w:ind w:firstLine="640" w:firstLineChars="200"/>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2.卖方：国家管网AA</w:t>
      </w:r>
      <w:r>
        <w:rPr>
          <w:rFonts w:hint="eastAsia" w:ascii="仿宋" w:hAnsi="仿宋" w:eastAsia="仿宋" w:cs="仿宋"/>
          <w:color w:val="000000" w:themeColor="text1"/>
          <w:sz w:val="32"/>
          <w:szCs w:val="32"/>
          <w:lang w:val="en-US" w:eastAsia="zh-CN"/>
          <w14:textFill>
            <w14:solidFill>
              <w14:schemeClr w14:val="tx1"/>
            </w14:solidFill>
          </w14:textFill>
        </w:rPr>
        <w:t>A</w:t>
      </w:r>
      <w:r>
        <w:rPr>
          <w:rFonts w:hint="eastAsia" w:ascii="仿宋" w:hAnsi="仿宋" w:eastAsia="仿宋" w:cs="仿宋"/>
          <w:color w:val="000000" w:themeColor="text1"/>
          <w:sz w:val="32"/>
          <w:szCs w:val="32"/>
          <w14:textFill>
            <w14:solidFill>
              <w14:schemeClr w14:val="tx1"/>
            </w14:solidFill>
          </w14:textFill>
        </w:rPr>
        <w:t>级托运商，交易达成后，线上成交合同中可查看卖方信息。</w:t>
      </w:r>
    </w:p>
    <w:p w14:paraId="743E71D5">
      <w:pPr>
        <w:spacing w:line="560" w:lineRule="exact"/>
        <w:ind w:firstLine="640" w:firstLineChars="200"/>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3.交易量：</w:t>
      </w:r>
      <w:r>
        <w:rPr>
          <w:rFonts w:hint="eastAsia" w:ascii="仿宋" w:hAnsi="仿宋" w:eastAsia="仿宋" w:cs="仿宋"/>
          <w:color w:val="000000" w:themeColor="text1"/>
          <w:sz w:val="32"/>
          <w:szCs w:val="32"/>
          <w:u w:val="single"/>
          <w:lang w:val="en-US" w:eastAsia="zh-CN"/>
          <w14:textFill>
            <w14:solidFill>
              <w14:schemeClr w14:val="tx1"/>
            </w14:solidFill>
          </w14:textFill>
        </w:rPr>
        <w:t>拟投放</w:t>
      </w:r>
      <w:r>
        <w:rPr>
          <w:rFonts w:hint="eastAsia" w:ascii="仿宋" w:hAnsi="仿宋" w:eastAsia="仿宋" w:cs="仿宋"/>
          <w:color w:val="000000" w:themeColor="text1"/>
          <w:sz w:val="32"/>
          <w:szCs w:val="32"/>
          <w:u w:val="single"/>
          <w14:textFill>
            <w14:solidFill>
              <w14:schemeClr w14:val="tx1"/>
            </w14:solidFill>
          </w14:textFill>
        </w:rPr>
        <w:t>总气量</w:t>
      </w:r>
      <w:r>
        <w:rPr>
          <w:rFonts w:hint="eastAsia" w:ascii="仿宋" w:hAnsi="仿宋" w:eastAsia="仿宋" w:cs="仿宋"/>
          <w:color w:val="000000" w:themeColor="text1"/>
          <w:sz w:val="32"/>
          <w:szCs w:val="32"/>
          <w:u w:val="single"/>
          <w:lang w:val="en-US" w:eastAsia="zh-CN"/>
          <w14:textFill>
            <w14:solidFill>
              <w14:schemeClr w14:val="tx1"/>
            </w14:solidFill>
          </w14:textFill>
        </w:rPr>
        <w:t>720</w:t>
      </w:r>
      <w:r>
        <w:rPr>
          <w:rFonts w:hint="eastAsia" w:ascii="仿宋" w:hAnsi="仿宋" w:eastAsia="仿宋" w:cs="仿宋"/>
          <w:color w:val="000000" w:themeColor="text1"/>
          <w:sz w:val="32"/>
          <w:szCs w:val="32"/>
          <w:u w:val="single"/>
          <w14:textFill>
            <w14:solidFill>
              <w14:schemeClr w14:val="tx1"/>
            </w14:solidFill>
          </w14:textFill>
        </w:rPr>
        <w:t>万方</w:t>
      </w:r>
      <w:r>
        <w:rPr>
          <w:rFonts w:hint="eastAsia" w:ascii="仿宋" w:hAnsi="仿宋" w:eastAsia="仿宋" w:cs="仿宋"/>
          <w:color w:val="000000" w:themeColor="text1"/>
          <w:sz w:val="32"/>
          <w:szCs w:val="32"/>
          <w:u w:val="single"/>
          <w:lang w:eastAsia="zh-CN"/>
          <w14:textFill>
            <w14:solidFill>
              <w14:schemeClr w14:val="tx1"/>
            </w14:solidFill>
          </w14:textFill>
        </w:rPr>
        <w:t>（</w:t>
      </w:r>
      <w:r>
        <w:rPr>
          <w:rFonts w:hint="eastAsia" w:ascii="仿宋" w:hAnsi="仿宋" w:eastAsia="仿宋" w:cs="仿宋"/>
          <w:color w:val="000000" w:themeColor="text1"/>
          <w:sz w:val="32"/>
          <w:szCs w:val="32"/>
          <w:u w:val="single"/>
          <w:lang w:val="en-US" w:eastAsia="zh-CN"/>
          <w14:textFill>
            <w14:solidFill>
              <w14:schemeClr w14:val="tx1"/>
            </w14:solidFill>
          </w14:textFill>
        </w:rPr>
        <w:t>8万方/天）</w:t>
      </w:r>
      <w:r>
        <w:rPr>
          <w:rFonts w:hint="eastAsia" w:ascii="仿宋" w:hAnsi="仿宋" w:eastAsia="仿宋" w:cs="仿宋"/>
          <w:color w:val="000000" w:themeColor="text1"/>
          <w:sz w:val="32"/>
          <w:szCs w:val="32"/>
          <w14:textFill>
            <w14:solidFill>
              <w14:schemeClr w14:val="tx1"/>
            </w14:solidFill>
          </w14:textFill>
        </w:rPr>
        <w:t>。</w:t>
      </w:r>
    </w:p>
    <w:p w14:paraId="1AA1E03B">
      <w:pPr>
        <w:spacing w:line="560" w:lineRule="exact"/>
        <w:ind w:firstLine="640" w:firstLineChars="200"/>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4.交收期：2026年</w:t>
      </w:r>
      <w:r>
        <w:rPr>
          <w:rFonts w:hint="eastAsia" w:ascii="仿宋" w:hAnsi="仿宋" w:eastAsia="仿宋" w:cs="仿宋"/>
          <w:color w:val="000000" w:themeColor="text1"/>
          <w:sz w:val="32"/>
          <w:szCs w:val="32"/>
          <w:lang w:val="en-US" w:eastAsia="zh-CN"/>
          <w14:textFill>
            <w14:solidFill>
              <w14:schemeClr w14:val="tx1"/>
            </w14:solidFill>
          </w14:textFill>
        </w:rPr>
        <w:t>11</w:t>
      </w:r>
      <w:r>
        <w:rPr>
          <w:rFonts w:hint="eastAsia" w:ascii="仿宋" w:hAnsi="仿宋" w:eastAsia="仿宋" w:cs="仿宋"/>
          <w:color w:val="000000" w:themeColor="text1"/>
          <w:sz w:val="32"/>
          <w:szCs w:val="32"/>
          <w14:textFill>
            <w14:solidFill>
              <w14:schemeClr w14:val="tx1"/>
            </w14:solidFill>
          </w14:textFill>
        </w:rPr>
        <w:t>月</w:t>
      </w:r>
      <w:r>
        <w:rPr>
          <w:rFonts w:hint="eastAsia" w:ascii="仿宋" w:hAnsi="仿宋" w:eastAsia="仿宋" w:cs="仿宋"/>
          <w:color w:val="000000" w:themeColor="text1"/>
          <w:sz w:val="32"/>
          <w:szCs w:val="32"/>
          <w:lang w:val="en-US" w:eastAsia="zh-CN"/>
          <w14:textFill>
            <w14:solidFill>
              <w14:schemeClr w14:val="tx1"/>
            </w14:solidFill>
          </w14:textFill>
        </w:rPr>
        <w:t>30</w:t>
      </w:r>
      <w:r>
        <w:rPr>
          <w:rFonts w:hint="eastAsia" w:ascii="仿宋" w:hAnsi="仿宋" w:eastAsia="仿宋" w:cs="仿宋"/>
          <w:color w:val="000000" w:themeColor="text1"/>
          <w:sz w:val="32"/>
          <w:szCs w:val="32"/>
          <w14:textFill>
            <w14:solidFill>
              <w14:schemeClr w14:val="tx1"/>
            </w14:solidFill>
          </w14:textFill>
        </w:rPr>
        <w:t>日8:00起至202</w:t>
      </w:r>
      <w:r>
        <w:rPr>
          <w:rFonts w:hint="eastAsia" w:ascii="仿宋" w:hAnsi="仿宋" w:eastAsia="仿宋" w:cs="仿宋"/>
          <w:color w:val="000000" w:themeColor="text1"/>
          <w:sz w:val="32"/>
          <w:szCs w:val="32"/>
          <w:lang w:val="en-US" w:eastAsia="zh-CN"/>
          <w14:textFill>
            <w14:solidFill>
              <w14:schemeClr w14:val="tx1"/>
            </w14:solidFill>
          </w14:textFill>
        </w:rPr>
        <w:t>7</w:t>
      </w:r>
      <w:r>
        <w:rPr>
          <w:rFonts w:hint="eastAsia" w:ascii="仿宋" w:hAnsi="仿宋" w:eastAsia="仿宋" w:cs="仿宋"/>
          <w:color w:val="000000" w:themeColor="text1"/>
          <w:sz w:val="32"/>
          <w:szCs w:val="32"/>
          <w14:textFill>
            <w14:solidFill>
              <w14:schemeClr w14:val="tx1"/>
            </w14:solidFill>
          </w14:textFill>
        </w:rPr>
        <w:t>年</w:t>
      </w:r>
      <w:r>
        <w:rPr>
          <w:rFonts w:hint="eastAsia" w:ascii="仿宋" w:hAnsi="仿宋" w:eastAsia="仿宋" w:cs="仿宋"/>
          <w:color w:val="000000" w:themeColor="text1"/>
          <w:sz w:val="32"/>
          <w:szCs w:val="32"/>
          <w:lang w:val="en-US" w:eastAsia="zh-CN"/>
          <w14:textFill>
            <w14:solidFill>
              <w14:schemeClr w14:val="tx1"/>
            </w14:solidFill>
          </w14:textFill>
        </w:rPr>
        <w:t>2</w:t>
      </w:r>
      <w:r>
        <w:rPr>
          <w:rFonts w:hint="eastAsia" w:ascii="仿宋" w:hAnsi="仿宋" w:eastAsia="仿宋" w:cs="仿宋"/>
          <w:color w:val="000000" w:themeColor="text1"/>
          <w:sz w:val="32"/>
          <w:szCs w:val="32"/>
          <w14:textFill>
            <w14:solidFill>
              <w14:schemeClr w14:val="tx1"/>
            </w14:solidFill>
          </w14:textFill>
        </w:rPr>
        <w:t>月</w:t>
      </w:r>
      <w:r>
        <w:rPr>
          <w:rFonts w:hint="eastAsia" w:ascii="仿宋" w:hAnsi="仿宋" w:eastAsia="仿宋" w:cs="仿宋"/>
          <w:color w:val="000000" w:themeColor="text1"/>
          <w:sz w:val="32"/>
          <w:szCs w:val="32"/>
          <w:lang w:val="en-US" w:eastAsia="zh-CN"/>
          <w14:textFill>
            <w14:solidFill>
              <w14:schemeClr w14:val="tx1"/>
            </w14:solidFill>
          </w14:textFill>
        </w:rPr>
        <w:t>28</w:t>
      </w:r>
      <w:r>
        <w:rPr>
          <w:rFonts w:hint="eastAsia" w:ascii="仿宋" w:hAnsi="仿宋" w:eastAsia="仿宋" w:cs="仿宋"/>
          <w:color w:val="000000" w:themeColor="text1"/>
          <w:sz w:val="32"/>
          <w:szCs w:val="32"/>
          <w14:textFill>
            <w14:solidFill>
              <w14:schemeClr w14:val="tx1"/>
            </w14:solidFill>
          </w14:textFill>
        </w:rPr>
        <w:t>日8:00</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lang w:val="en-US" w:eastAsia="zh-CN"/>
          <w14:textFill>
            <w14:solidFill>
              <w14:schemeClr w14:val="tx1"/>
            </w14:solidFill>
          </w14:textFill>
        </w:rPr>
        <w:t>卖方可在一定程度上提供交收期调整便利，具体以双方协商为准</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w:t>
      </w:r>
    </w:p>
    <w:p w14:paraId="4F2407FB">
      <w:pPr>
        <w:spacing w:line="560" w:lineRule="exact"/>
        <w:ind w:firstLine="640" w:firstLineChars="200"/>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5.卖方承诺日最大供气量：日均合同量的1.1倍，最小供气量：日均合同量的0.9倍。</w:t>
      </w:r>
    </w:p>
    <w:p w14:paraId="34530C24">
      <w:pPr>
        <w:spacing w:line="560" w:lineRule="exact"/>
        <w:ind w:firstLine="640" w:firstLineChars="200"/>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6.交付</w:t>
      </w:r>
      <w:r>
        <w:rPr>
          <w:rFonts w:hint="eastAsia" w:ascii="仿宋" w:hAnsi="仿宋" w:eastAsia="仿宋" w:cs="仿宋"/>
          <w:color w:val="000000" w:themeColor="text1"/>
          <w:sz w:val="32"/>
          <w:szCs w:val="32"/>
          <w:lang w:val="en-US" w:eastAsia="zh-CN"/>
          <w14:textFill>
            <w14:solidFill>
              <w14:schemeClr w14:val="tx1"/>
            </w14:solidFill>
          </w14:textFill>
        </w:rPr>
        <w:t>说明：</w:t>
      </w:r>
      <w:r>
        <w:rPr>
          <w:rFonts w:hint="eastAsia" w:ascii="仿宋" w:hAnsi="仿宋" w:eastAsia="仿宋" w:cs="仿宋"/>
          <w:color w:val="000000" w:themeColor="text1"/>
          <w:sz w:val="32"/>
          <w:szCs w:val="32"/>
          <w:u w:val="single"/>
          <w:lang w:val="en-US" w:eastAsia="zh-CN"/>
          <w14:textFill>
            <w14:solidFill>
              <w14:schemeClr w14:val="tx1"/>
            </w14:solidFill>
          </w14:textFill>
        </w:rPr>
        <w:t>本次交易以国家管网安平枢纽点作为竞价基准，安平枢纽点之后由卖方负责托运至买方下载点。线上成交价格不包含从安平枢纽点到买方下载点的管输费用，管输费用由买方承担，具体以国家管网实际管输费用为准</w:t>
      </w:r>
      <w:r>
        <w:rPr>
          <w:rFonts w:hint="eastAsia" w:ascii="仿宋" w:hAnsi="仿宋" w:eastAsia="仿宋" w:cs="仿宋"/>
          <w:color w:val="000000" w:themeColor="text1"/>
          <w:sz w:val="32"/>
          <w:szCs w:val="32"/>
          <w14:textFill>
            <w14:solidFill>
              <w14:schemeClr w14:val="tx1"/>
            </w14:solidFill>
          </w14:textFill>
        </w:rPr>
        <w:t>。</w:t>
      </w:r>
    </w:p>
    <w:p w14:paraId="71058064">
      <w:pPr>
        <w:spacing w:line="560" w:lineRule="exact"/>
        <w:ind w:firstLine="640" w:firstLineChars="200"/>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7.交易模式：竞价交易模式。交易机制为“价格优先、时间优先”。</w:t>
      </w:r>
    </w:p>
    <w:p w14:paraId="7B1B68D2">
      <w:pPr>
        <w:spacing w:line="560" w:lineRule="exact"/>
        <w:ind w:firstLine="640" w:firstLineChars="200"/>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8.交收方式：自主交收。</w:t>
      </w:r>
    </w:p>
    <w:p w14:paraId="107AF27D">
      <w:pPr>
        <w:spacing w:line="560" w:lineRule="exact"/>
        <w:ind w:firstLine="640" w:firstLineChars="200"/>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9.气质要求：天然气符合中华人民共和国国家标准《天然气》（GB17820-2018）中的天然气标准。</w:t>
      </w:r>
    </w:p>
    <w:p w14:paraId="53EFB2B8">
      <w:pPr>
        <w:spacing w:before="156" w:beforeLines="50" w:line="560" w:lineRule="exact"/>
        <w:ind w:firstLine="643" w:firstLineChars="200"/>
        <w:rPr>
          <w:rFonts w:hint="eastAsia" w:ascii="仿宋" w:hAnsi="仿宋" w:eastAsia="仿宋" w:cs="仿宋"/>
          <w:b/>
          <w:color w:val="000000" w:themeColor="text1"/>
          <w:sz w:val="32"/>
          <w:szCs w:val="32"/>
          <w14:textFill>
            <w14:solidFill>
              <w14:schemeClr w14:val="tx1"/>
            </w14:solidFill>
          </w14:textFill>
        </w:rPr>
      </w:pPr>
      <w:r>
        <w:rPr>
          <w:rFonts w:hint="eastAsia" w:ascii="仿宋" w:hAnsi="仿宋" w:eastAsia="仿宋" w:cs="仿宋"/>
          <w:b/>
          <w:color w:val="000000" w:themeColor="text1"/>
          <w:sz w:val="32"/>
          <w:szCs w:val="32"/>
          <w14:textFill>
            <w14:solidFill>
              <w14:schemeClr w14:val="tx1"/>
            </w14:solidFill>
          </w14:textFill>
        </w:rPr>
        <w:t>四</w:t>
      </w:r>
      <w:r>
        <w:rPr>
          <w:rFonts w:ascii="仿宋" w:hAnsi="仿宋" w:eastAsia="仿宋" w:cs="仿宋"/>
          <w:b/>
          <w:color w:val="000000" w:themeColor="text1"/>
          <w:sz w:val="32"/>
          <w:szCs w:val="32"/>
          <w14:textFill>
            <w14:solidFill>
              <w14:schemeClr w14:val="tx1"/>
            </w14:solidFill>
          </w14:textFill>
        </w:rPr>
        <w:t>、</w:t>
      </w:r>
      <w:r>
        <w:rPr>
          <w:rFonts w:hint="eastAsia" w:ascii="仿宋" w:hAnsi="仿宋" w:eastAsia="仿宋" w:cs="仿宋"/>
          <w:b/>
          <w:color w:val="000000" w:themeColor="text1"/>
          <w:sz w:val="32"/>
          <w:szCs w:val="32"/>
          <w14:textFill>
            <w14:solidFill>
              <w14:schemeClr w14:val="tx1"/>
            </w14:solidFill>
          </w14:textFill>
        </w:rPr>
        <w:t>交易参数</w:t>
      </w:r>
    </w:p>
    <w:p w14:paraId="2DA82046">
      <w:pPr>
        <w:spacing w:line="520" w:lineRule="exact"/>
        <w:ind w:firstLine="640"/>
        <w:rPr>
          <w:rFonts w:hint="eastAsia" w:ascii="仿宋" w:hAnsi="仿宋" w:eastAsia="仿宋" w:cs="仿宋"/>
          <w:sz w:val="32"/>
          <w:szCs w:val="32"/>
        </w:rPr>
      </w:pPr>
      <w:r>
        <w:rPr>
          <w:rFonts w:hint="eastAsia" w:ascii="仿宋" w:hAnsi="仿宋" w:eastAsia="仿宋" w:cs="仿宋"/>
          <w:sz w:val="32"/>
          <w:szCs w:val="32"/>
        </w:rPr>
        <w:t>通过上海交易中心交易系统进入“竞价交易”-“管道天然气”- “安平</w:t>
      </w:r>
      <w:r>
        <w:rPr>
          <w:rFonts w:hint="eastAsia" w:ascii="仿宋" w:hAnsi="仿宋" w:eastAsia="仿宋" w:cs="仿宋"/>
          <w:sz w:val="32"/>
          <w:szCs w:val="32"/>
          <w:lang w:val="en-US" w:eastAsia="zh-CN"/>
        </w:rPr>
        <w:t>枢纽点</w:t>
      </w:r>
      <w:r>
        <w:rPr>
          <w:rFonts w:hint="eastAsia" w:ascii="仿宋" w:hAnsi="仿宋" w:eastAsia="仿宋" w:cs="仿宋"/>
          <w:sz w:val="32"/>
          <w:szCs w:val="32"/>
        </w:rPr>
        <w:t>”交易专场。</w:t>
      </w:r>
    </w:p>
    <w:tbl>
      <w:tblPr>
        <w:tblStyle w:val="4"/>
        <w:tblW w:w="486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55"/>
        <w:gridCol w:w="2559"/>
        <w:gridCol w:w="3858"/>
      </w:tblGrid>
      <w:tr w14:paraId="6D7AE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025" w:type="pct"/>
            <w:vAlign w:val="center"/>
          </w:tcPr>
          <w:p w14:paraId="25EAF8B2">
            <w:pPr>
              <w:widowControl/>
              <w:jc w:val="center"/>
              <w:rPr>
                <w:rFonts w:hint="eastAsia" w:ascii="仿宋" w:hAnsi="仿宋" w:eastAsia="仿宋" w:cs="仿宋"/>
                <w:b/>
                <w:bCs/>
                <w:kern w:val="0"/>
                <w:sz w:val="24"/>
                <w:szCs w:val="24"/>
              </w:rPr>
            </w:pPr>
            <w:r>
              <w:rPr>
                <w:rFonts w:hint="eastAsia" w:ascii="仿宋" w:hAnsi="仿宋" w:eastAsia="仿宋" w:cs="仿宋"/>
                <w:b/>
                <w:bCs/>
                <w:kern w:val="0"/>
                <w:sz w:val="24"/>
                <w:szCs w:val="24"/>
              </w:rPr>
              <w:t>类别</w:t>
            </w:r>
          </w:p>
        </w:tc>
        <w:tc>
          <w:tcPr>
            <w:tcW w:w="1585" w:type="pct"/>
            <w:vAlign w:val="center"/>
          </w:tcPr>
          <w:p w14:paraId="42538148">
            <w:pPr>
              <w:widowControl/>
              <w:spacing w:line="360" w:lineRule="auto"/>
              <w:jc w:val="center"/>
              <w:rPr>
                <w:rFonts w:hint="eastAsia" w:ascii="仿宋" w:hAnsi="仿宋" w:eastAsia="仿宋" w:cs="仿宋"/>
                <w:b/>
                <w:bCs/>
                <w:kern w:val="0"/>
                <w:sz w:val="24"/>
                <w:szCs w:val="24"/>
              </w:rPr>
            </w:pPr>
            <w:r>
              <w:rPr>
                <w:rFonts w:hint="eastAsia" w:ascii="仿宋" w:hAnsi="仿宋" w:eastAsia="仿宋" w:cs="仿宋"/>
                <w:b/>
                <w:bCs/>
                <w:kern w:val="0"/>
                <w:sz w:val="24"/>
                <w:szCs w:val="24"/>
              </w:rPr>
              <w:t>参数</w:t>
            </w:r>
          </w:p>
        </w:tc>
        <w:tc>
          <w:tcPr>
            <w:tcW w:w="2389" w:type="pct"/>
            <w:vAlign w:val="center"/>
          </w:tcPr>
          <w:p w14:paraId="18937EFA">
            <w:pPr>
              <w:widowControl/>
              <w:spacing w:line="360" w:lineRule="auto"/>
              <w:jc w:val="center"/>
              <w:rPr>
                <w:rFonts w:hint="eastAsia" w:ascii="仿宋" w:hAnsi="仿宋" w:eastAsia="仿宋" w:cs="仿宋"/>
                <w:b/>
                <w:bCs/>
                <w:kern w:val="0"/>
                <w:sz w:val="24"/>
                <w:szCs w:val="24"/>
              </w:rPr>
            </w:pPr>
            <w:r>
              <w:rPr>
                <w:rFonts w:hint="eastAsia" w:ascii="仿宋" w:hAnsi="仿宋" w:eastAsia="仿宋" w:cs="仿宋"/>
                <w:b/>
                <w:bCs/>
                <w:kern w:val="0"/>
                <w:sz w:val="24"/>
                <w:szCs w:val="24"/>
              </w:rPr>
              <w:t>说明</w:t>
            </w:r>
          </w:p>
        </w:tc>
      </w:tr>
      <w:tr w14:paraId="16BB6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025" w:type="pct"/>
            <w:vAlign w:val="center"/>
          </w:tcPr>
          <w:p w14:paraId="1FB4ED0B">
            <w:pPr>
              <w:widowControl/>
              <w:spacing w:line="36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交易模式</w:t>
            </w:r>
          </w:p>
        </w:tc>
        <w:tc>
          <w:tcPr>
            <w:tcW w:w="1585" w:type="pct"/>
            <w:vAlign w:val="center"/>
          </w:tcPr>
          <w:p w14:paraId="7AF68341">
            <w:pPr>
              <w:widowControl/>
              <w:spacing w:line="36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竞价交易</w:t>
            </w:r>
          </w:p>
        </w:tc>
        <w:tc>
          <w:tcPr>
            <w:tcW w:w="2389" w:type="pct"/>
            <w:vAlign w:val="center"/>
          </w:tcPr>
          <w:p w14:paraId="5E1640A9">
            <w:pPr>
              <w:widowControl/>
              <w:spacing w:line="36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竞价交易-</w:t>
            </w:r>
            <w:r>
              <w:rPr>
                <w:rFonts w:hint="eastAsia" w:ascii="仿宋" w:hAnsi="仿宋" w:eastAsia="仿宋" w:cs="仿宋"/>
                <w:color w:val="000000"/>
                <w:spacing w:val="10"/>
                <w:sz w:val="24"/>
                <w:szCs w:val="24"/>
                <w:shd w:val="clear" w:color="auto" w:fill="FFFFFF"/>
              </w:rPr>
              <w:t>竞买交易</w:t>
            </w:r>
          </w:p>
        </w:tc>
      </w:tr>
      <w:tr w14:paraId="0F2D5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025" w:type="pct"/>
            <w:vAlign w:val="center"/>
          </w:tcPr>
          <w:p w14:paraId="2EF2ED20">
            <w:pPr>
              <w:widowControl/>
              <w:spacing w:line="36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挂单量</w:t>
            </w:r>
          </w:p>
        </w:tc>
        <w:tc>
          <w:tcPr>
            <w:tcW w:w="1585" w:type="pct"/>
            <w:vAlign w:val="center"/>
          </w:tcPr>
          <w:p w14:paraId="387FB8EC">
            <w:pPr>
              <w:widowControl/>
              <w:spacing w:line="360" w:lineRule="auto"/>
              <w:jc w:val="center"/>
              <w:rPr>
                <w:rFonts w:hint="eastAsia" w:ascii="仿宋" w:hAnsi="仿宋" w:eastAsia="仿宋" w:cs="仿宋"/>
                <w:kern w:val="0"/>
                <w:sz w:val="24"/>
                <w:szCs w:val="24"/>
              </w:rPr>
            </w:pPr>
            <w:r>
              <w:rPr>
                <w:rFonts w:hint="eastAsia" w:ascii="仿宋" w:hAnsi="仿宋" w:eastAsia="仿宋" w:cs="仿宋"/>
                <w:kern w:val="0"/>
                <w:sz w:val="24"/>
                <w:szCs w:val="24"/>
                <w:lang w:val="en-US" w:eastAsia="zh-CN"/>
              </w:rPr>
              <w:t>720</w:t>
            </w:r>
            <w:r>
              <w:rPr>
                <w:rFonts w:hint="eastAsia" w:ascii="仿宋" w:hAnsi="仿宋" w:eastAsia="仿宋" w:cs="仿宋"/>
                <w:kern w:val="0"/>
                <w:sz w:val="24"/>
                <w:szCs w:val="24"/>
              </w:rPr>
              <w:t>万方</w:t>
            </w:r>
          </w:p>
        </w:tc>
        <w:tc>
          <w:tcPr>
            <w:tcW w:w="2389" w:type="pct"/>
            <w:vAlign w:val="center"/>
          </w:tcPr>
          <w:p w14:paraId="16E5F67A">
            <w:pPr>
              <w:widowControl/>
              <w:spacing w:line="360" w:lineRule="auto"/>
              <w:jc w:val="center"/>
              <w:rPr>
                <w:rFonts w:hint="default" w:ascii="仿宋" w:hAnsi="仿宋" w:eastAsia="仿宋" w:cs="仿宋"/>
                <w:kern w:val="0"/>
                <w:sz w:val="24"/>
                <w:szCs w:val="24"/>
                <w:lang w:val="en-US" w:eastAsia="zh-CN"/>
              </w:rPr>
            </w:pPr>
            <w:r>
              <w:rPr>
                <w:rFonts w:hint="default" w:ascii="仿宋" w:hAnsi="仿宋" w:eastAsia="仿宋" w:cs="仿宋"/>
                <w:kern w:val="0"/>
                <w:sz w:val="24"/>
                <w:szCs w:val="24"/>
                <w:lang w:val="en-US"/>
              </w:rPr>
              <w:t>以实际挂单为准</w:t>
            </w:r>
          </w:p>
        </w:tc>
      </w:tr>
      <w:tr w14:paraId="2EE0C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025" w:type="pct"/>
            <w:vAlign w:val="center"/>
          </w:tcPr>
          <w:p w14:paraId="597EBCEB">
            <w:pPr>
              <w:widowControl/>
              <w:spacing w:line="36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最大摘单量</w:t>
            </w:r>
          </w:p>
        </w:tc>
        <w:tc>
          <w:tcPr>
            <w:tcW w:w="1585" w:type="pct"/>
            <w:vAlign w:val="center"/>
          </w:tcPr>
          <w:p w14:paraId="6E226D8B">
            <w:pPr>
              <w:spacing w:line="360" w:lineRule="auto"/>
              <w:jc w:val="center"/>
              <w:rPr>
                <w:rFonts w:hint="default" w:ascii="仿宋" w:hAnsi="仿宋" w:eastAsia="仿宋" w:cs="仿宋"/>
                <w:kern w:val="0"/>
                <w:sz w:val="24"/>
                <w:szCs w:val="24"/>
                <w:lang w:val="en-US"/>
              </w:rPr>
            </w:pPr>
            <w:r>
              <w:rPr>
                <w:rFonts w:hint="eastAsia" w:ascii="仿宋" w:hAnsi="仿宋" w:eastAsia="仿宋" w:cs="仿宋"/>
                <w:kern w:val="0"/>
                <w:sz w:val="24"/>
                <w:szCs w:val="24"/>
                <w:lang w:val="en-US" w:eastAsia="zh-CN"/>
              </w:rPr>
              <w:t>单笔挂单气量</w:t>
            </w:r>
          </w:p>
        </w:tc>
        <w:tc>
          <w:tcPr>
            <w:tcW w:w="2389" w:type="pct"/>
            <w:vAlign w:val="center"/>
          </w:tcPr>
          <w:p w14:paraId="39D15619">
            <w:pPr>
              <w:widowControl/>
              <w:spacing w:line="36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允许用户单笔最大摘单量</w:t>
            </w:r>
          </w:p>
        </w:tc>
      </w:tr>
      <w:tr w14:paraId="1DA3B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025" w:type="pct"/>
            <w:vAlign w:val="center"/>
          </w:tcPr>
          <w:p w14:paraId="002989DD">
            <w:pPr>
              <w:widowControl/>
              <w:spacing w:line="36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最小摘单量</w:t>
            </w:r>
          </w:p>
        </w:tc>
        <w:tc>
          <w:tcPr>
            <w:tcW w:w="1585" w:type="pct"/>
            <w:vAlign w:val="center"/>
          </w:tcPr>
          <w:p w14:paraId="549A8839">
            <w:pPr>
              <w:spacing w:line="360" w:lineRule="auto"/>
              <w:jc w:val="center"/>
              <w:rPr>
                <w:rFonts w:hint="eastAsia" w:ascii="仿宋" w:hAnsi="仿宋" w:eastAsia="仿宋" w:cs="仿宋"/>
                <w:kern w:val="0"/>
                <w:sz w:val="24"/>
                <w:szCs w:val="24"/>
              </w:rPr>
            </w:pPr>
            <w:r>
              <w:rPr>
                <w:rFonts w:hint="eastAsia" w:ascii="仿宋" w:hAnsi="仿宋" w:eastAsia="仿宋" w:cs="仿宋"/>
                <w:kern w:val="0"/>
                <w:sz w:val="24"/>
                <w:szCs w:val="24"/>
                <w:lang w:val="en-US" w:eastAsia="zh-CN"/>
              </w:rPr>
              <w:t>90</w:t>
            </w:r>
            <w:r>
              <w:rPr>
                <w:rFonts w:hint="eastAsia" w:ascii="仿宋" w:hAnsi="仿宋" w:eastAsia="仿宋" w:cs="仿宋"/>
                <w:kern w:val="0"/>
                <w:sz w:val="24"/>
                <w:szCs w:val="24"/>
              </w:rPr>
              <w:t>万方</w:t>
            </w:r>
          </w:p>
        </w:tc>
        <w:tc>
          <w:tcPr>
            <w:tcW w:w="2389" w:type="pct"/>
            <w:vAlign w:val="center"/>
          </w:tcPr>
          <w:p w14:paraId="4768E19A">
            <w:pPr>
              <w:widowControl/>
              <w:spacing w:line="360" w:lineRule="auto"/>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rPr>
              <w:t>允许用户单笔最小摘单量</w:t>
            </w:r>
          </w:p>
        </w:tc>
      </w:tr>
      <w:tr w14:paraId="73A11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025" w:type="pct"/>
            <w:vAlign w:val="center"/>
          </w:tcPr>
          <w:p w14:paraId="2C06A53E">
            <w:pPr>
              <w:widowControl/>
              <w:spacing w:line="36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递增单位</w:t>
            </w:r>
          </w:p>
        </w:tc>
        <w:tc>
          <w:tcPr>
            <w:tcW w:w="1585" w:type="pct"/>
            <w:vAlign w:val="center"/>
          </w:tcPr>
          <w:p w14:paraId="15FE0E52">
            <w:pPr>
              <w:widowControl/>
              <w:spacing w:line="360" w:lineRule="auto"/>
              <w:jc w:val="center"/>
              <w:rPr>
                <w:rFonts w:hint="eastAsia" w:ascii="仿宋" w:hAnsi="仿宋" w:eastAsia="仿宋" w:cs="仿宋"/>
                <w:kern w:val="0"/>
                <w:sz w:val="24"/>
                <w:szCs w:val="24"/>
              </w:rPr>
            </w:pPr>
            <w:r>
              <w:rPr>
                <w:rFonts w:hint="eastAsia" w:ascii="仿宋" w:hAnsi="仿宋" w:eastAsia="仿宋" w:cs="仿宋"/>
                <w:kern w:val="0"/>
                <w:sz w:val="24"/>
                <w:szCs w:val="24"/>
                <w:lang w:val="en-US" w:eastAsia="zh-CN"/>
              </w:rPr>
              <w:t>90</w:t>
            </w:r>
            <w:r>
              <w:rPr>
                <w:rFonts w:hint="eastAsia" w:ascii="仿宋" w:hAnsi="仿宋" w:eastAsia="仿宋" w:cs="仿宋"/>
                <w:kern w:val="0"/>
                <w:sz w:val="24"/>
                <w:szCs w:val="24"/>
              </w:rPr>
              <w:t>万方</w:t>
            </w:r>
          </w:p>
        </w:tc>
        <w:tc>
          <w:tcPr>
            <w:tcW w:w="2389" w:type="pct"/>
            <w:vAlign w:val="center"/>
          </w:tcPr>
          <w:p w14:paraId="4E782E9D">
            <w:pPr>
              <w:widowControl/>
              <w:spacing w:line="36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允许单个用户单笔摘单的递增量，只能以此单位的整数倍递增摘单</w:t>
            </w:r>
          </w:p>
        </w:tc>
      </w:tr>
      <w:tr w14:paraId="233DF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025" w:type="pct"/>
            <w:vAlign w:val="center"/>
          </w:tcPr>
          <w:p w14:paraId="0675DB5C">
            <w:pPr>
              <w:widowControl/>
              <w:spacing w:line="36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竞拍底价</w:t>
            </w:r>
          </w:p>
        </w:tc>
        <w:tc>
          <w:tcPr>
            <w:tcW w:w="1585" w:type="pct"/>
            <w:vAlign w:val="center"/>
          </w:tcPr>
          <w:p w14:paraId="726D1616">
            <w:pPr>
              <w:widowControl/>
              <w:spacing w:line="36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挂单时设置</w:t>
            </w:r>
          </w:p>
        </w:tc>
        <w:tc>
          <w:tcPr>
            <w:tcW w:w="2389" w:type="pct"/>
            <w:vAlign w:val="center"/>
          </w:tcPr>
          <w:p w14:paraId="5DF536A3">
            <w:pPr>
              <w:widowControl/>
              <w:spacing w:line="36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含税价格</w:t>
            </w:r>
          </w:p>
        </w:tc>
      </w:tr>
      <w:tr w14:paraId="58E9D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025" w:type="pct"/>
            <w:vAlign w:val="center"/>
          </w:tcPr>
          <w:p w14:paraId="1ABC826A">
            <w:pPr>
              <w:widowControl/>
              <w:spacing w:line="36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最小加价幅度</w:t>
            </w:r>
          </w:p>
        </w:tc>
        <w:tc>
          <w:tcPr>
            <w:tcW w:w="1585" w:type="pct"/>
            <w:vAlign w:val="center"/>
          </w:tcPr>
          <w:p w14:paraId="4CE3CD6F">
            <w:pPr>
              <w:widowControl/>
              <w:spacing w:line="36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0.0</w:t>
            </w:r>
            <w:r>
              <w:rPr>
                <w:rFonts w:hint="eastAsia" w:ascii="仿宋" w:hAnsi="仿宋" w:eastAsia="仿宋" w:cs="仿宋"/>
                <w:kern w:val="0"/>
                <w:sz w:val="24"/>
                <w:szCs w:val="24"/>
                <w:lang w:val="en-US" w:eastAsia="zh-CN"/>
              </w:rPr>
              <w:t>1</w:t>
            </w:r>
            <w:r>
              <w:rPr>
                <w:rFonts w:hint="eastAsia" w:ascii="仿宋" w:hAnsi="仿宋" w:eastAsia="仿宋" w:cs="仿宋"/>
                <w:kern w:val="0"/>
                <w:sz w:val="24"/>
                <w:szCs w:val="24"/>
              </w:rPr>
              <w:t>元/方</w:t>
            </w:r>
          </w:p>
        </w:tc>
        <w:tc>
          <w:tcPr>
            <w:tcW w:w="2389" w:type="pct"/>
            <w:vAlign w:val="center"/>
          </w:tcPr>
          <w:p w14:paraId="5A4D0C9D">
            <w:pPr>
              <w:widowControl/>
              <w:spacing w:line="36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单笔加价的最小值</w:t>
            </w:r>
          </w:p>
        </w:tc>
      </w:tr>
      <w:tr w14:paraId="4C399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025" w:type="pct"/>
            <w:vAlign w:val="center"/>
          </w:tcPr>
          <w:p w14:paraId="1DAE84A1">
            <w:pPr>
              <w:widowControl/>
              <w:spacing w:line="36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最大加价幅度</w:t>
            </w:r>
          </w:p>
        </w:tc>
        <w:tc>
          <w:tcPr>
            <w:tcW w:w="1585" w:type="pct"/>
            <w:vAlign w:val="center"/>
          </w:tcPr>
          <w:p w14:paraId="4B22E4E3">
            <w:pPr>
              <w:widowControl/>
              <w:spacing w:line="36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w:t>
            </w:r>
            <w:r>
              <w:rPr>
                <w:rFonts w:hint="eastAsia" w:ascii="仿宋" w:hAnsi="仿宋" w:eastAsia="仿宋" w:cs="仿宋"/>
                <w:kern w:val="0"/>
                <w:sz w:val="24"/>
                <w:szCs w:val="24"/>
                <w:lang w:val="en-US" w:eastAsia="zh-CN"/>
              </w:rPr>
              <w:t>5</w:t>
            </w:r>
            <w:r>
              <w:rPr>
                <w:rFonts w:hint="eastAsia" w:ascii="仿宋" w:hAnsi="仿宋" w:eastAsia="仿宋" w:cs="仿宋"/>
                <w:kern w:val="0"/>
                <w:sz w:val="24"/>
                <w:szCs w:val="24"/>
              </w:rPr>
              <w:t>元/方</w:t>
            </w:r>
          </w:p>
        </w:tc>
        <w:tc>
          <w:tcPr>
            <w:tcW w:w="2389" w:type="pct"/>
            <w:vAlign w:val="center"/>
          </w:tcPr>
          <w:p w14:paraId="14B3AE7C">
            <w:pPr>
              <w:widowControl/>
              <w:spacing w:line="36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单笔加价的最大值</w:t>
            </w:r>
          </w:p>
        </w:tc>
      </w:tr>
      <w:tr w14:paraId="114DF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025" w:type="pct"/>
            <w:vAlign w:val="center"/>
          </w:tcPr>
          <w:p w14:paraId="57BA09B1">
            <w:pPr>
              <w:widowControl/>
              <w:spacing w:line="36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出价单位</w:t>
            </w:r>
          </w:p>
        </w:tc>
        <w:tc>
          <w:tcPr>
            <w:tcW w:w="1585" w:type="pct"/>
            <w:vAlign w:val="center"/>
          </w:tcPr>
          <w:p w14:paraId="1712ACC9">
            <w:pPr>
              <w:widowControl/>
              <w:spacing w:line="36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0.01元/方</w:t>
            </w:r>
          </w:p>
        </w:tc>
        <w:tc>
          <w:tcPr>
            <w:tcW w:w="2389" w:type="pct"/>
            <w:vAlign w:val="center"/>
          </w:tcPr>
          <w:p w14:paraId="427B5A8F">
            <w:pPr>
              <w:widowControl/>
              <w:spacing w:line="36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出价需为0.01的整数倍</w:t>
            </w:r>
          </w:p>
        </w:tc>
      </w:tr>
      <w:tr w14:paraId="18CDD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025" w:type="pct"/>
            <w:vAlign w:val="center"/>
          </w:tcPr>
          <w:p w14:paraId="77A289FB">
            <w:pPr>
              <w:widowControl/>
              <w:spacing w:line="36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封顶价</w:t>
            </w:r>
          </w:p>
        </w:tc>
        <w:tc>
          <w:tcPr>
            <w:tcW w:w="1585" w:type="pct"/>
            <w:vAlign w:val="center"/>
          </w:tcPr>
          <w:p w14:paraId="31946CBA">
            <w:pPr>
              <w:widowControl/>
              <w:spacing w:line="36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不限</w:t>
            </w:r>
          </w:p>
        </w:tc>
        <w:tc>
          <w:tcPr>
            <w:tcW w:w="2389" w:type="pct"/>
            <w:vAlign w:val="center"/>
          </w:tcPr>
          <w:p w14:paraId="261BEFDE">
            <w:pPr>
              <w:widowControl/>
              <w:spacing w:line="360" w:lineRule="auto"/>
              <w:jc w:val="center"/>
              <w:rPr>
                <w:rFonts w:hint="eastAsia" w:ascii="仿宋" w:hAnsi="仿宋" w:eastAsia="仿宋" w:cs="仿宋"/>
                <w:kern w:val="0"/>
                <w:sz w:val="24"/>
                <w:szCs w:val="24"/>
              </w:rPr>
            </w:pPr>
          </w:p>
        </w:tc>
      </w:tr>
      <w:tr w14:paraId="3645E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025" w:type="pct"/>
            <w:vAlign w:val="center"/>
          </w:tcPr>
          <w:p w14:paraId="2BF32568">
            <w:pPr>
              <w:widowControl/>
              <w:spacing w:line="36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成交价格</w:t>
            </w:r>
          </w:p>
        </w:tc>
        <w:tc>
          <w:tcPr>
            <w:tcW w:w="1585" w:type="pct"/>
            <w:vAlign w:val="center"/>
          </w:tcPr>
          <w:p w14:paraId="29EEDFA6">
            <w:pPr>
              <w:widowControl/>
              <w:spacing w:line="360" w:lineRule="auto"/>
              <w:jc w:val="center"/>
              <w:rPr>
                <w:rFonts w:hint="eastAsia" w:ascii="仿宋" w:hAnsi="仿宋" w:eastAsia="仿宋" w:cs="仿宋"/>
                <w:kern w:val="0"/>
                <w:sz w:val="24"/>
                <w:szCs w:val="24"/>
              </w:rPr>
            </w:pPr>
          </w:p>
        </w:tc>
        <w:tc>
          <w:tcPr>
            <w:tcW w:w="2389" w:type="pct"/>
            <w:vAlign w:val="center"/>
          </w:tcPr>
          <w:p w14:paraId="4C06A71D">
            <w:pPr>
              <w:widowControl/>
              <w:spacing w:line="36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含税价格，不含管输费</w:t>
            </w:r>
          </w:p>
        </w:tc>
      </w:tr>
      <w:tr w14:paraId="01356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44" w:hRule="atLeast"/>
          <w:jc w:val="center"/>
        </w:trPr>
        <w:tc>
          <w:tcPr>
            <w:tcW w:w="1025" w:type="pct"/>
            <w:vAlign w:val="center"/>
          </w:tcPr>
          <w:p w14:paraId="3380C412">
            <w:pPr>
              <w:widowControl/>
              <w:spacing w:line="36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倒计时和成交规则</w:t>
            </w:r>
          </w:p>
        </w:tc>
        <w:tc>
          <w:tcPr>
            <w:tcW w:w="1585" w:type="pct"/>
            <w:vAlign w:val="center"/>
          </w:tcPr>
          <w:p w14:paraId="6DEEB9B5">
            <w:pPr>
              <w:widowControl/>
              <w:spacing w:line="36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5分钟</w:t>
            </w:r>
          </w:p>
        </w:tc>
        <w:tc>
          <w:tcPr>
            <w:tcW w:w="2389" w:type="pct"/>
            <w:vAlign w:val="center"/>
          </w:tcPr>
          <w:p w14:paraId="7A57466B">
            <w:pPr>
              <w:widowControl/>
              <w:spacing w:line="36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挂单量全部出价后开始倒计时，倒计时5分钟，倒计时期间有新报价，倒计时重新开始。倒计时期间内无新报价或交易节结束时，交易结束，倒计时强制终止，按照“价格优先，时间优先”顺序成交</w:t>
            </w:r>
          </w:p>
        </w:tc>
      </w:tr>
    </w:tbl>
    <w:p w14:paraId="7890C364">
      <w:pPr>
        <w:spacing w:before="156" w:beforeLines="50" w:line="560" w:lineRule="exact"/>
        <w:ind w:firstLine="643" w:firstLineChars="200"/>
        <w:rPr>
          <w:rFonts w:hint="eastAsia" w:ascii="仿宋" w:hAnsi="仿宋" w:eastAsia="仿宋" w:cs="仿宋"/>
          <w:b/>
          <w:color w:val="000000" w:themeColor="text1"/>
          <w:sz w:val="32"/>
          <w:szCs w:val="32"/>
          <w14:textFill>
            <w14:solidFill>
              <w14:schemeClr w14:val="tx1"/>
            </w14:solidFill>
          </w14:textFill>
        </w:rPr>
      </w:pPr>
      <w:r>
        <w:rPr>
          <w:rFonts w:hint="eastAsia" w:ascii="仿宋" w:hAnsi="仿宋" w:eastAsia="仿宋" w:cs="仿宋"/>
          <w:b/>
          <w:color w:val="000000" w:themeColor="text1"/>
          <w:sz w:val="32"/>
          <w:szCs w:val="32"/>
          <w14:textFill>
            <w14:solidFill>
              <w14:schemeClr w14:val="tx1"/>
            </w14:solidFill>
          </w14:textFill>
        </w:rPr>
        <w:t>五</w:t>
      </w:r>
      <w:r>
        <w:rPr>
          <w:rFonts w:ascii="仿宋" w:hAnsi="仿宋" w:eastAsia="仿宋" w:cs="仿宋"/>
          <w:b/>
          <w:color w:val="000000" w:themeColor="text1"/>
          <w:sz w:val="32"/>
          <w:szCs w:val="32"/>
          <w14:textFill>
            <w14:solidFill>
              <w14:schemeClr w14:val="tx1"/>
            </w14:solidFill>
          </w14:textFill>
        </w:rPr>
        <w:t>、</w:t>
      </w:r>
      <w:r>
        <w:rPr>
          <w:rFonts w:hint="eastAsia" w:ascii="仿宋" w:hAnsi="仿宋" w:eastAsia="仿宋" w:cs="仿宋"/>
          <w:b/>
          <w:color w:val="000000" w:themeColor="text1"/>
          <w:sz w:val="32"/>
          <w:szCs w:val="32"/>
          <w14:textFill>
            <w14:solidFill>
              <w14:schemeClr w14:val="tx1"/>
            </w14:solidFill>
          </w14:textFill>
        </w:rPr>
        <w:t>交易资格</w:t>
      </w:r>
    </w:p>
    <w:p w14:paraId="64A4CECF">
      <w:pPr>
        <w:spacing w:line="560" w:lineRule="exact"/>
        <w:ind w:firstLine="640" w:firstLineChars="200"/>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1.参与用户资质要求。本交易采用报名审核制，参与用户须符合以下条件：</w:t>
      </w:r>
    </w:p>
    <w:p w14:paraId="219ECDC4">
      <w:pPr>
        <w:spacing w:line="560" w:lineRule="exact"/>
        <w:ind w:firstLine="640" w:firstLineChars="200"/>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（1）申请企业须为上海交易中心国内交易商会员，且已完成银行第三方存管签约。</w:t>
      </w:r>
    </w:p>
    <w:p w14:paraId="6448A7A0">
      <w:pPr>
        <w:spacing w:line="560" w:lineRule="exact"/>
        <w:ind w:firstLine="640" w:firstLineChars="200"/>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（2）申请企业应具有良好的信用记录，不在失信被执行人企业名单之列。</w:t>
      </w:r>
    </w:p>
    <w:p w14:paraId="525393A5">
      <w:pPr>
        <w:spacing w:line="560" w:lineRule="exact"/>
        <w:ind w:firstLine="640" w:firstLineChars="200"/>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（3）申请企业应具有完整的天然气交易、交收、结算及风险管理的体系和团队。</w:t>
      </w:r>
    </w:p>
    <w:p w14:paraId="6B53F7B5">
      <w:pPr>
        <w:spacing w:line="560" w:lineRule="exact"/>
        <w:ind w:firstLine="640" w:firstLineChars="200"/>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2.申请报名</w:t>
      </w:r>
    </w:p>
    <w:p w14:paraId="0F52C1A2">
      <w:pPr>
        <w:spacing w:line="560" w:lineRule="exact"/>
        <w:ind w:firstLine="640" w:firstLineChars="200"/>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有意向参与此次交易的企业请将附件申请表（加盖公章）的扫描件发送至以下邮箱：PNG@shpgx.com。</w:t>
      </w:r>
    </w:p>
    <w:p w14:paraId="74DB2676">
      <w:pPr>
        <w:spacing w:line="560" w:lineRule="exact"/>
        <w:ind w:firstLine="640" w:firstLineChars="200"/>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报名截止时间为2026年</w:t>
      </w:r>
      <w:r>
        <w:rPr>
          <w:rFonts w:hint="eastAsia" w:ascii="仿宋" w:hAnsi="仿宋" w:eastAsia="仿宋" w:cs="仿宋"/>
          <w:color w:val="000000" w:themeColor="text1"/>
          <w:sz w:val="32"/>
          <w:szCs w:val="32"/>
          <w:lang w:val="en-US" w:eastAsia="zh-CN"/>
          <w14:textFill>
            <w14:solidFill>
              <w14:schemeClr w14:val="tx1"/>
            </w14:solidFill>
          </w14:textFill>
        </w:rPr>
        <w:t>9</w:t>
      </w:r>
      <w:r>
        <w:rPr>
          <w:rFonts w:hint="eastAsia" w:ascii="仿宋" w:hAnsi="仿宋" w:eastAsia="仿宋" w:cs="仿宋"/>
          <w:color w:val="000000" w:themeColor="text1"/>
          <w:sz w:val="32"/>
          <w:szCs w:val="32"/>
          <w14:textFill>
            <w14:solidFill>
              <w14:schemeClr w14:val="tx1"/>
            </w14:solidFill>
          </w14:textFill>
        </w:rPr>
        <w:t>月</w:t>
      </w:r>
      <w:r>
        <w:rPr>
          <w:rFonts w:hint="eastAsia" w:ascii="仿宋" w:hAnsi="仿宋" w:eastAsia="仿宋" w:cs="仿宋"/>
          <w:color w:val="000000" w:themeColor="text1"/>
          <w:sz w:val="32"/>
          <w:szCs w:val="32"/>
          <w:lang w:val="en-US" w:eastAsia="zh-CN"/>
          <w14:textFill>
            <w14:solidFill>
              <w14:schemeClr w14:val="tx1"/>
            </w14:solidFill>
          </w14:textFill>
        </w:rPr>
        <w:t>28</w:t>
      </w:r>
      <w:r>
        <w:rPr>
          <w:rFonts w:hint="eastAsia" w:ascii="仿宋" w:hAnsi="仿宋" w:eastAsia="仿宋" w:cs="仿宋"/>
          <w:color w:val="000000" w:themeColor="text1"/>
          <w:sz w:val="32"/>
          <w:szCs w:val="32"/>
          <w14:textFill>
            <w14:solidFill>
              <w14:schemeClr w14:val="tx1"/>
            </w14:solidFill>
          </w14:textFill>
        </w:rPr>
        <w:t>日</w:t>
      </w:r>
      <w:r>
        <w:rPr>
          <w:rFonts w:hint="eastAsia" w:ascii="仿宋" w:hAnsi="仿宋" w:eastAsia="仿宋" w:cs="仿宋"/>
          <w:color w:val="000000" w:themeColor="text1"/>
          <w:sz w:val="32"/>
          <w:szCs w:val="32"/>
          <w:lang w:val="en-US" w:eastAsia="zh-CN"/>
          <w14:textFill>
            <w14:solidFill>
              <w14:schemeClr w14:val="tx1"/>
            </w14:solidFill>
          </w14:textFill>
        </w:rPr>
        <w:t>16</w:t>
      </w:r>
      <w:r>
        <w:rPr>
          <w:rFonts w:hint="eastAsia" w:ascii="仿宋" w:hAnsi="仿宋" w:eastAsia="仿宋" w:cs="仿宋"/>
          <w:color w:val="000000" w:themeColor="text1"/>
          <w:sz w:val="32"/>
          <w:szCs w:val="32"/>
          <w14:textFill>
            <w14:solidFill>
              <w14:schemeClr w14:val="tx1"/>
            </w14:solidFill>
          </w14:textFill>
        </w:rPr>
        <w:t>:00。</w:t>
      </w:r>
    </w:p>
    <w:p w14:paraId="165F6911">
      <w:pPr>
        <w:spacing w:line="520" w:lineRule="exact"/>
        <w:ind w:right="184" w:firstLine="640"/>
        <w:rPr>
          <w:rFonts w:hint="eastAsia" w:ascii="仿宋" w:hAnsi="仿宋" w:eastAsia="仿宋" w:cs="仿宋"/>
          <w:sz w:val="32"/>
          <w:szCs w:val="32"/>
        </w:rPr>
      </w:pPr>
      <w:r>
        <w:rPr>
          <w:rFonts w:hint="eastAsia" w:ascii="仿宋" w:hAnsi="仿宋" w:eastAsia="仿宋" w:cs="仿宋"/>
          <w:sz w:val="32"/>
          <w:szCs w:val="32"/>
        </w:rPr>
        <w:t>3.入围通知</w:t>
      </w:r>
    </w:p>
    <w:p w14:paraId="654E6FBD">
      <w:pPr>
        <w:spacing w:line="560" w:lineRule="exact"/>
        <w:ind w:firstLine="640" w:firstLineChars="200"/>
        <w:rPr>
          <w:rFonts w:hint="eastAsia" w:ascii="仿宋" w:hAnsi="仿宋" w:eastAsia="仿宋" w:cs="仿宋"/>
          <w:sz w:val="32"/>
          <w:szCs w:val="32"/>
        </w:rPr>
      </w:pPr>
      <w:r>
        <w:rPr>
          <w:rFonts w:hint="eastAsia" w:ascii="仿宋" w:hAnsi="仿宋" w:eastAsia="仿宋" w:cs="仿宋"/>
          <w:color w:val="000000" w:themeColor="text1"/>
          <w:sz w:val="32"/>
          <w:szCs w:val="32"/>
          <w14:textFill>
            <w14:solidFill>
              <w14:schemeClr w14:val="tx1"/>
            </w14:solidFill>
          </w14:textFill>
        </w:rPr>
        <w:t>上海交易中心收到企业申请表后，卖方和上海交易中心根据提交的时间顺序开展资质审核，并于报名截止日1</w:t>
      </w:r>
      <w:r>
        <w:rPr>
          <w:rFonts w:hint="eastAsia" w:ascii="仿宋" w:hAnsi="仿宋" w:eastAsia="仿宋" w:cs="仿宋"/>
          <w:color w:val="000000" w:themeColor="text1"/>
          <w:sz w:val="32"/>
          <w:szCs w:val="32"/>
          <w:lang w:val="en-US" w:eastAsia="zh-CN"/>
          <w14:textFill>
            <w14:solidFill>
              <w14:schemeClr w14:val="tx1"/>
            </w14:solidFill>
          </w14:textFill>
        </w:rPr>
        <w:t>7</w:t>
      </w:r>
      <w:r>
        <w:rPr>
          <w:rFonts w:hint="eastAsia" w:ascii="仿宋" w:hAnsi="仿宋" w:eastAsia="仿宋" w:cs="仿宋"/>
          <w:color w:val="000000" w:themeColor="text1"/>
          <w:sz w:val="32"/>
          <w:szCs w:val="32"/>
          <w14:textFill>
            <w14:solidFill>
              <w14:schemeClr w14:val="tx1"/>
            </w14:solidFill>
          </w14:textFill>
        </w:rPr>
        <w:t>:00之前通过邮件发送审核通过的入围通知及电子合同模板等材料。收到入围通知的企业请于本公告公布的交易时间在上海交易中心的交易系统内按时参加交易。</w:t>
      </w:r>
    </w:p>
    <w:p w14:paraId="0D219934">
      <w:pPr>
        <w:spacing w:before="156" w:beforeLines="50" w:line="560" w:lineRule="exact"/>
        <w:ind w:firstLine="643" w:firstLineChars="200"/>
        <w:rPr>
          <w:rFonts w:hint="eastAsia" w:ascii="仿宋" w:hAnsi="仿宋" w:eastAsia="仿宋" w:cs="仿宋"/>
          <w:b/>
          <w:color w:val="000000" w:themeColor="text1"/>
          <w:sz w:val="32"/>
          <w:szCs w:val="32"/>
          <w14:textFill>
            <w14:solidFill>
              <w14:schemeClr w14:val="tx1"/>
            </w14:solidFill>
          </w14:textFill>
        </w:rPr>
      </w:pPr>
      <w:bookmarkStart w:id="1" w:name="_Toc97829022"/>
      <w:bookmarkStart w:id="2" w:name="_Toc97825387"/>
      <w:bookmarkStart w:id="3" w:name="_Toc97825746"/>
      <w:r>
        <w:rPr>
          <w:rFonts w:hint="eastAsia" w:ascii="仿宋" w:hAnsi="仿宋" w:eastAsia="仿宋" w:cs="仿宋"/>
          <w:b/>
          <w:color w:val="000000" w:themeColor="text1"/>
          <w:sz w:val="32"/>
          <w:szCs w:val="32"/>
          <w14:textFill>
            <w14:solidFill>
              <w14:schemeClr w14:val="tx1"/>
            </w14:solidFill>
          </w14:textFill>
        </w:rPr>
        <w:t>六</w:t>
      </w:r>
      <w:r>
        <w:rPr>
          <w:rFonts w:ascii="仿宋" w:hAnsi="仿宋" w:eastAsia="仿宋" w:cs="仿宋"/>
          <w:b/>
          <w:color w:val="000000" w:themeColor="text1"/>
          <w:sz w:val="32"/>
          <w:szCs w:val="32"/>
          <w14:textFill>
            <w14:solidFill>
              <w14:schemeClr w14:val="tx1"/>
            </w14:solidFill>
          </w14:textFill>
        </w:rPr>
        <w:t>、</w:t>
      </w:r>
      <w:r>
        <w:rPr>
          <w:rFonts w:hint="eastAsia" w:ascii="仿宋" w:hAnsi="仿宋" w:eastAsia="仿宋" w:cs="仿宋"/>
          <w:b/>
          <w:color w:val="000000" w:themeColor="text1"/>
          <w:sz w:val="32"/>
          <w:szCs w:val="32"/>
          <w14:textFill>
            <w14:solidFill>
              <w14:schemeClr w14:val="tx1"/>
            </w14:solidFill>
          </w14:textFill>
        </w:rPr>
        <w:t>交易服务费及保证金</w:t>
      </w:r>
    </w:p>
    <w:bookmarkEnd w:id="1"/>
    <w:bookmarkEnd w:id="2"/>
    <w:bookmarkEnd w:id="3"/>
    <w:p w14:paraId="5CFF16D0">
      <w:pPr>
        <w:spacing w:line="560" w:lineRule="exact"/>
        <w:ind w:firstLine="640" w:firstLineChars="200"/>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参与交易的交易商会员需提前入金，将资金转入对应的交易结算账户，确保交易结算账户可用余额充足。交易服务费和保证金的入金时间为交易日的09:00至15:00，且均以现金方式缴纳。</w:t>
      </w:r>
    </w:p>
    <w:p w14:paraId="411B08DF">
      <w:pPr>
        <w:spacing w:line="560" w:lineRule="exact"/>
        <w:ind w:firstLine="640" w:firstLineChars="200"/>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1.交易服务费</w:t>
      </w:r>
    </w:p>
    <w:p w14:paraId="45302EA6">
      <w:pPr>
        <w:spacing w:line="560" w:lineRule="exact"/>
        <w:ind w:firstLine="640" w:firstLineChars="200"/>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交易</w:t>
      </w:r>
      <w:r>
        <w:rPr>
          <w:rFonts w:hint="eastAsia" w:ascii="仿宋" w:hAnsi="仿宋" w:eastAsia="仿宋" w:cs="仿宋"/>
          <w:color w:val="000000" w:themeColor="text1"/>
          <w:sz w:val="32"/>
          <w:szCs w:val="32"/>
          <w:lang w:val="en-US" w:eastAsia="zh-CN"/>
          <w14:textFill>
            <w14:solidFill>
              <w14:schemeClr w14:val="tx1"/>
            </w14:solidFill>
          </w14:textFill>
        </w:rPr>
        <w:t>服务</w:t>
      </w:r>
      <w:r>
        <w:rPr>
          <w:rFonts w:hint="eastAsia" w:ascii="仿宋" w:hAnsi="仿宋" w:eastAsia="仿宋" w:cs="仿宋"/>
          <w:color w:val="000000" w:themeColor="text1"/>
          <w:sz w:val="32"/>
          <w:szCs w:val="32"/>
          <w14:textFill>
            <w14:solidFill>
              <w14:schemeClr w14:val="tx1"/>
            </w14:solidFill>
          </w14:textFill>
        </w:rPr>
        <w:t>费=交易成交金额×千分之一，交易成交金额=成交单价×成交量，双边收取。</w:t>
      </w:r>
    </w:p>
    <w:p w14:paraId="647A75C3">
      <w:pPr>
        <w:spacing w:line="560" w:lineRule="exact"/>
        <w:ind w:firstLine="640" w:firstLineChars="200"/>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2.交易保证金</w:t>
      </w:r>
    </w:p>
    <w:p w14:paraId="4904A36A">
      <w:pPr>
        <w:spacing w:line="560" w:lineRule="exact"/>
        <w:ind w:firstLine="640" w:firstLineChars="200"/>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交易保证金=交易成交金额×</w:t>
      </w:r>
      <w:r>
        <w:rPr>
          <w:rFonts w:hint="eastAsia" w:ascii="仿宋" w:hAnsi="仿宋" w:eastAsia="仿宋" w:cs="仿宋"/>
          <w:color w:val="000000" w:themeColor="text1"/>
          <w:sz w:val="32"/>
          <w:szCs w:val="32"/>
          <w:lang w:val="en-US" w:eastAsia="zh-CN"/>
          <w14:textFill>
            <w14:solidFill>
              <w14:schemeClr w14:val="tx1"/>
            </w14:solidFill>
          </w14:textFill>
        </w:rPr>
        <w:t>5</w:t>
      </w:r>
      <w:r>
        <w:rPr>
          <w:rFonts w:hint="eastAsia" w:ascii="仿宋" w:hAnsi="仿宋" w:eastAsia="仿宋" w:cs="仿宋"/>
          <w:color w:val="000000" w:themeColor="text1"/>
          <w:sz w:val="32"/>
          <w:szCs w:val="32"/>
          <w14:textFill>
            <w14:solidFill>
              <w14:schemeClr w14:val="tx1"/>
            </w14:solidFill>
          </w14:textFill>
        </w:rPr>
        <w:t>%，交易成交金额=成交单价×成交量，双边收取。</w:t>
      </w:r>
    </w:p>
    <w:p w14:paraId="51FDF0B9">
      <w:pPr>
        <w:spacing w:line="560" w:lineRule="exact"/>
        <w:ind w:firstLine="640" w:firstLineChars="200"/>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交易结束后，未达成交易买方的交易保证金将自动释放，可操作出金；达成交易买方的交易保证金转为交收保证金，买卖双方实际交收完毕后，经双方确认</w:t>
      </w:r>
      <w:r>
        <w:rPr>
          <w:rFonts w:hint="eastAsia" w:ascii="仿宋" w:hAnsi="仿宋" w:eastAsia="仿宋" w:cs="仿宋"/>
          <w:color w:val="000000" w:themeColor="text1"/>
          <w:sz w:val="32"/>
          <w:szCs w:val="32"/>
          <w:lang w:val="en-US" w:eastAsia="zh-CN"/>
          <w14:textFill>
            <w14:solidFill>
              <w14:schemeClr w14:val="tx1"/>
            </w14:solidFill>
          </w14:textFill>
        </w:rPr>
        <w:t>由上海交易中心进行</w:t>
      </w:r>
      <w:r>
        <w:rPr>
          <w:rFonts w:hint="eastAsia" w:ascii="仿宋" w:hAnsi="仿宋" w:eastAsia="仿宋" w:cs="仿宋"/>
          <w:color w:val="000000" w:themeColor="text1"/>
          <w:sz w:val="32"/>
          <w:szCs w:val="32"/>
          <w14:textFill>
            <w14:solidFill>
              <w14:schemeClr w14:val="tx1"/>
            </w14:solidFill>
          </w14:textFill>
        </w:rPr>
        <w:t>释放。</w:t>
      </w:r>
    </w:p>
    <w:p w14:paraId="1608D388">
      <w:pPr>
        <w:spacing w:before="156" w:beforeLines="50" w:line="560" w:lineRule="exact"/>
        <w:ind w:firstLine="643" w:firstLineChars="200"/>
        <w:rPr>
          <w:rFonts w:hint="eastAsia" w:ascii="仿宋" w:hAnsi="仿宋" w:eastAsia="仿宋" w:cs="仿宋"/>
          <w:b/>
          <w:color w:val="000000" w:themeColor="text1"/>
          <w:sz w:val="32"/>
          <w:szCs w:val="32"/>
          <w14:textFill>
            <w14:solidFill>
              <w14:schemeClr w14:val="tx1"/>
            </w14:solidFill>
          </w14:textFill>
        </w:rPr>
      </w:pPr>
      <w:r>
        <w:rPr>
          <w:rFonts w:hint="eastAsia" w:ascii="仿宋" w:hAnsi="仿宋" w:eastAsia="仿宋" w:cs="仿宋"/>
          <w:b/>
          <w:color w:val="000000" w:themeColor="text1"/>
          <w:sz w:val="32"/>
          <w:szCs w:val="32"/>
          <w14:textFill>
            <w14:solidFill>
              <w14:schemeClr w14:val="tx1"/>
            </w14:solidFill>
          </w14:textFill>
        </w:rPr>
        <w:t>七</w:t>
      </w:r>
      <w:r>
        <w:rPr>
          <w:rFonts w:ascii="仿宋" w:hAnsi="仿宋" w:eastAsia="仿宋" w:cs="仿宋"/>
          <w:b/>
          <w:color w:val="000000" w:themeColor="text1"/>
          <w:sz w:val="32"/>
          <w:szCs w:val="32"/>
          <w14:textFill>
            <w14:solidFill>
              <w14:schemeClr w14:val="tx1"/>
            </w14:solidFill>
          </w14:textFill>
        </w:rPr>
        <w:t>、</w:t>
      </w:r>
      <w:r>
        <w:rPr>
          <w:rFonts w:hint="eastAsia" w:ascii="仿宋" w:hAnsi="仿宋" w:eastAsia="仿宋" w:cs="仿宋"/>
          <w:b/>
          <w:color w:val="000000" w:themeColor="text1"/>
          <w:sz w:val="32"/>
          <w:szCs w:val="32"/>
          <w14:textFill>
            <w14:solidFill>
              <w14:schemeClr w14:val="tx1"/>
            </w14:solidFill>
          </w14:textFill>
        </w:rPr>
        <w:t>交收结算方式</w:t>
      </w:r>
    </w:p>
    <w:p w14:paraId="6BA7D894">
      <w:pPr>
        <w:spacing w:line="560" w:lineRule="exact"/>
        <w:ind w:firstLine="640" w:firstLineChars="200"/>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交易达成后，电子交易系统将自动生成包括结算价格的电子交易合同，卖方依据电子交易合同向买方交付天然气。</w:t>
      </w:r>
    </w:p>
    <w:p w14:paraId="212C8D3E">
      <w:pPr>
        <w:spacing w:before="156" w:beforeLines="50" w:line="560" w:lineRule="exact"/>
        <w:ind w:firstLine="643" w:firstLineChars="200"/>
        <w:rPr>
          <w:rFonts w:hint="eastAsia" w:ascii="仿宋" w:hAnsi="仿宋" w:eastAsia="仿宋" w:cs="仿宋"/>
          <w:b/>
          <w:color w:val="000000" w:themeColor="text1"/>
          <w:sz w:val="32"/>
          <w:szCs w:val="32"/>
          <w14:textFill>
            <w14:solidFill>
              <w14:schemeClr w14:val="tx1"/>
            </w14:solidFill>
          </w14:textFill>
        </w:rPr>
      </w:pPr>
      <w:r>
        <w:rPr>
          <w:rFonts w:hint="eastAsia" w:ascii="仿宋" w:hAnsi="仿宋" w:eastAsia="仿宋" w:cs="仿宋"/>
          <w:b/>
          <w:color w:val="000000" w:themeColor="text1"/>
          <w:sz w:val="32"/>
          <w:szCs w:val="32"/>
          <w14:textFill>
            <w14:solidFill>
              <w14:schemeClr w14:val="tx1"/>
            </w14:solidFill>
          </w14:textFill>
        </w:rPr>
        <w:t>八</w:t>
      </w:r>
      <w:r>
        <w:rPr>
          <w:rFonts w:ascii="仿宋" w:hAnsi="仿宋" w:eastAsia="仿宋" w:cs="仿宋"/>
          <w:b/>
          <w:color w:val="000000" w:themeColor="text1"/>
          <w:sz w:val="32"/>
          <w:szCs w:val="32"/>
          <w14:textFill>
            <w14:solidFill>
              <w14:schemeClr w14:val="tx1"/>
            </w14:solidFill>
          </w14:textFill>
        </w:rPr>
        <w:t>、</w:t>
      </w:r>
      <w:r>
        <w:rPr>
          <w:rFonts w:hint="eastAsia" w:ascii="仿宋" w:hAnsi="仿宋" w:eastAsia="仿宋" w:cs="仿宋"/>
          <w:b/>
          <w:color w:val="000000" w:themeColor="text1"/>
          <w:sz w:val="32"/>
          <w:szCs w:val="32"/>
          <w14:textFill>
            <w14:solidFill>
              <w14:schemeClr w14:val="tx1"/>
            </w14:solidFill>
          </w14:textFill>
        </w:rPr>
        <w:t>交易准备工作</w:t>
      </w:r>
    </w:p>
    <w:p w14:paraId="45335785">
      <w:pPr>
        <w:spacing w:line="560" w:lineRule="exact"/>
        <w:ind w:firstLine="640" w:firstLineChars="200"/>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1.已开户客户</w:t>
      </w:r>
    </w:p>
    <w:p w14:paraId="5DB1548B">
      <w:pPr>
        <w:spacing w:line="560" w:lineRule="exact"/>
        <w:ind w:firstLine="640" w:firstLineChars="200"/>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已开户客户请查阅上海交易中心网站（https://www.shpgx.com）-会员中心-下载中心，下载最新交易系统客户端，按照操作手册熟悉交易系统。网址为https://www.shpgx.com/html/download/。</w:t>
      </w:r>
    </w:p>
    <w:p w14:paraId="7705406B">
      <w:pPr>
        <w:spacing w:line="560" w:lineRule="exact"/>
        <w:ind w:firstLine="640" w:firstLineChars="200"/>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2.未开户客户注册流程</w:t>
      </w:r>
    </w:p>
    <w:p w14:paraId="1F85469A">
      <w:pPr>
        <w:spacing w:line="560" w:lineRule="exact"/>
        <w:ind w:firstLine="640" w:firstLineChars="200"/>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（1）注册。登录上海交易中心官网-会员中心-会员注册，填写注册相关信息，跟踪审批进度。联系电话：任老师 17721005907；</w:t>
      </w:r>
    </w:p>
    <w:p w14:paraId="56F253FE">
      <w:pPr>
        <w:spacing w:line="560" w:lineRule="exact"/>
        <w:ind w:firstLine="640" w:firstLineChars="200"/>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2）账号绑定及入金。选择银行账户进行签约操作，向系统入金，确保保证金及服务费金额充足。出入金教程可登录上海交易中心官网-入市指南-操作指南，根据操作教程完成银行账户签约及入金，确保交易账号余额足以支付交易保证金及服务费。联系电话：顾老师15800744768，马老师13564427450；</w:t>
      </w:r>
    </w:p>
    <w:p w14:paraId="298D0D25">
      <w:pPr>
        <w:spacing w:line="560" w:lineRule="exact"/>
        <w:ind w:firstLine="640" w:firstLineChars="200"/>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本次交易本着公平、公正、公开原则，交易解释权归上海交易中心所有。</w:t>
      </w:r>
    </w:p>
    <w:p w14:paraId="233DFE10">
      <w:pPr>
        <w:spacing w:line="560" w:lineRule="exact"/>
        <w:ind w:firstLine="640" w:firstLineChars="200"/>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如需进一步咨询，欢迎拨打：</w:t>
      </w:r>
    </w:p>
    <w:p w14:paraId="1C487971">
      <w:pPr>
        <w:spacing w:line="520" w:lineRule="exact"/>
        <w:ind w:firstLine="640"/>
        <w:rPr>
          <w:rFonts w:hint="default" w:ascii="仿宋" w:hAnsi="仿宋" w:eastAsia="仿宋" w:cs="仿宋"/>
          <w:bCs/>
          <w:sz w:val="32"/>
          <w:szCs w:val="32"/>
          <w:lang w:val="en-US" w:eastAsia="zh-CN"/>
        </w:rPr>
      </w:pPr>
      <w:r>
        <w:rPr>
          <w:rFonts w:hint="eastAsia" w:ascii="仿宋" w:hAnsi="仿宋" w:eastAsia="仿宋" w:cs="仿宋"/>
          <w:bCs/>
          <w:sz w:val="32"/>
          <w:szCs w:val="32"/>
        </w:rPr>
        <w:t>上海交易中心：</w:t>
      </w:r>
      <w:bookmarkStart w:id="4" w:name="_Toc8251"/>
      <w:bookmarkStart w:id="5" w:name="_Toc7145"/>
      <w:bookmarkStart w:id="6" w:name="_Toc29205"/>
      <w:bookmarkStart w:id="7" w:name="_Toc233"/>
      <w:bookmarkStart w:id="8" w:name="_Toc3873"/>
      <w:bookmarkStart w:id="9" w:name="_Toc14622"/>
      <w:bookmarkStart w:id="10" w:name="_Toc12117"/>
      <w:bookmarkStart w:id="11" w:name="_Toc19311"/>
      <w:bookmarkStart w:id="12" w:name="_Toc23480"/>
      <w:bookmarkStart w:id="13" w:name="_Toc3653"/>
      <w:bookmarkStart w:id="14" w:name="_Toc6851"/>
      <w:bookmarkStart w:id="15" w:name="_Toc17718"/>
      <w:r>
        <w:rPr>
          <w:rFonts w:hint="eastAsia" w:ascii="仿宋" w:hAnsi="仿宋" w:eastAsia="仿宋" w:cs="仿宋"/>
          <w:bCs/>
          <w:sz w:val="32"/>
          <w:szCs w:val="32"/>
          <w:lang w:val="en-US" w:eastAsia="zh-CN"/>
        </w:rPr>
        <w:t>刘洋 15300335615</w:t>
      </w:r>
    </w:p>
    <w:p w14:paraId="23679E6C">
      <w:pPr>
        <w:tabs>
          <w:tab w:val="left" w:pos="2685"/>
        </w:tabs>
        <w:spacing w:line="520" w:lineRule="exact"/>
        <w:jc w:val="left"/>
        <w:rPr>
          <w:rFonts w:hint="eastAsia" w:ascii="仿宋" w:hAnsi="仿宋" w:eastAsia="仿宋" w:cs="仿宋"/>
          <w:sz w:val="32"/>
          <w:szCs w:val="32"/>
        </w:rPr>
      </w:pPr>
      <w:r>
        <w:rPr>
          <w:rFonts w:hint="eastAsia" w:ascii="仿宋" w:hAnsi="仿宋" w:eastAsia="仿宋" w:cs="仿宋"/>
          <w:sz w:val="32"/>
          <w:szCs w:val="32"/>
        </w:rPr>
        <w:t xml:space="preserve">            </w:t>
      </w:r>
    </w:p>
    <w:p w14:paraId="59355BD1">
      <w:pPr>
        <w:tabs>
          <w:tab w:val="left" w:pos="2685"/>
        </w:tabs>
        <w:spacing w:line="520" w:lineRule="exact"/>
        <w:jc w:val="right"/>
        <w:rPr>
          <w:rFonts w:hint="eastAsia" w:ascii="仿宋" w:hAnsi="仿宋" w:eastAsia="仿宋" w:cs="仿宋"/>
          <w:sz w:val="32"/>
          <w:szCs w:val="32"/>
        </w:rPr>
      </w:pPr>
    </w:p>
    <w:p w14:paraId="6F103ECF">
      <w:pPr>
        <w:tabs>
          <w:tab w:val="left" w:pos="2685"/>
        </w:tabs>
        <w:spacing w:line="520" w:lineRule="exact"/>
        <w:ind w:left="4840" w:leftChars="2000" w:hanging="640" w:hangingChars="200"/>
        <w:jc w:val="right"/>
        <w:rPr>
          <w:rFonts w:hint="eastAsia" w:ascii="仿宋" w:hAnsi="仿宋" w:eastAsia="仿宋" w:cs="仿宋"/>
          <w:sz w:val="32"/>
          <w:szCs w:val="32"/>
        </w:rPr>
      </w:pPr>
      <w:r>
        <w:rPr>
          <w:rFonts w:hint="eastAsia" w:ascii="仿宋" w:hAnsi="仿宋" w:eastAsia="仿宋" w:cs="仿宋"/>
          <w:sz w:val="32"/>
          <w:szCs w:val="32"/>
        </w:rPr>
        <w:t>上海石油天然气交易中心    2026年</w:t>
      </w:r>
      <w:r>
        <w:rPr>
          <w:rFonts w:hint="eastAsia" w:ascii="仿宋" w:hAnsi="仿宋" w:eastAsia="仿宋" w:cs="仿宋"/>
          <w:sz w:val="32"/>
          <w:szCs w:val="32"/>
          <w:lang w:val="en-US" w:eastAsia="zh-CN"/>
        </w:rPr>
        <w:t>9</w:t>
      </w:r>
      <w:r>
        <w:rPr>
          <w:rFonts w:hint="eastAsia" w:ascii="仿宋" w:hAnsi="仿宋" w:eastAsia="仿宋" w:cs="仿宋"/>
          <w:sz w:val="32"/>
          <w:szCs w:val="32"/>
        </w:rPr>
        <w:t>月</w:t>
      </w:r>
      <w:r>
        <w:rPr>
          <w:rFonts w:hint="eastAsia" w:ascii="仿宋" w:hAnsi="仿宋" w:eastAsia="仿宋" w:cs="仿宋"/>
          <w:sz w:val="32"/>
          <w:szCs w:val="32"/>
          <w:lang w:val="en-US" w:eastAsia="zh-CN"/>
        </w:rPr>
        <w:t>24</w:t>
      </w:r>
      <w:r>
        <w:rPr>
          <w:rFonts w:hint="eastAsia" w:ascii="仿宋" w:hAnsi="仿宋" w:eastAsia="仿宋" w:cs="仿宋"/>
          <w:sz w:val="32"/>
          <w:szCs w:val="32"/>
        </w:rPr>
        <w:t>日</w:t>
      </w:r>
    </w:p>
    <w:p w14:paraId="5D467BE4">
      <w:pPr>
        <w:widowControl/>
        <w:jc w:val="left"/>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br w:type="page"/>
      </w:r>
    </w:p>
    <w:p w14:paraId="740BBADB">
      <w:pPr>
        <w:spacing w:after="240" w:line="480" w:lineRule="exact"/>
        <w:jc w:val="left"/>
        <w:outlineLvl w:val="0"/>
        <w:rPr>
          <w:rFonts w:hint="eastAsia" w:ascii="仿宋" w:hAnsi="仿宋" w:eastAsia="仿宋" w:cs="仿宋"/>
          <w:b/>
          <w:sz w:val="32"/>
          <w:szCs w:val="32"/>
        </w:rPr>
      </w:pPr>
      <w:bookmarkStart w:id="16" w:name="_GoBack"/>
      <w:r>
        <w:rPr>
          <w:rFonts w:hint="eastAsia" w:ascii="仿宋" w:hAnsi="仿宋" w:eastAsia="仿宋" w:cs="仿宋"/>
          <w:b/>
          <w:sz w:val="32"/>
          <w:szCs w:val="32"/>
        </w:rPr>
        <w:t>附件：</w:t>
      </w:r>
    </w:p>
    <w:p w14:paraId="010C6C62">
      <w:pPr>
        <w:spacing w:after="240" w:line="480" w:lineRule="exact"/>
        <w:jc w:val="center"/>
        <w:outlineLvl w:val="0"/>
        <w:rPr>
          <w:rFonts w:hint="eastAsia" w:ascii="仿宋" w:hAnsi="仿宋" w:eastAsia="仿宋" w:cs="仿宋"/>
          <w:b/>
          <w:sz w:val="32"/>
          <w:szCs w:val="32"/>
        </w:rPr>
      </w:pPr>
      <w:r>
        <w:rPr>
          <w:rFonts w:hint="eastAsia" w:ascii="仿宋" w:hAnsi="仿宋" w:eastAsia="仿宋" w:cs="仿宋"/>
          <w:b/>
          <w:sz w:val="32"/>
          <w:szCs w:val="32"/>
        </w:rPr>
        <w:t>安平管道气竞价交易申请表</w:t>
      </w:r>
      <w:bookmarkEnd w:id="4"/>
      <w:bookmarkEnd w:id="5"/>
      <w:bookmarkEnd w:id="6"/>
      <w:bookmarkEnd w:id="7"/>
      <w:bookmarkEnd w:id="8"/>
      <w:bookmarkEnd w:id="9"/>
      <w:bookmarkEnd w:id="10"/>
      <w:bookmarkEnd w:id="11"/>
      <w:bookmarkEnd w:id="12"/>
      <w:bookmarkEnd w:id="13"/>
      <w:bookmarkEnd w:id="14"/>
      <w:bookmarkEnd w:id="15"/>
    </w:p>
    <w:bookmarkEnd w:id="16"/>
    <w:tbl>
      <w:tblPr>
        <w:tblStyle w:val="4"/>
        <w:tblW w:w="8520" w:type="dxa"/>
        <w:tblInd w:w="0" w:type="dxa"/>
        <w:tblLayout w:type="fixed"/>
        <w:tblCellMar>
          <w:top w:w="15" w:type="dxa"/>
          <w:left w:w="15" w:type="dxa"/>
          <w:bottom w:w="15" w:type="dxa"/>
          <w:right w:w="15" w:type="dxa"/>
        </w:tblCellMar>
      </w:tblPr>
      <w:tblGrid>
        <w:gridCol w:w="2972"/>
        <w:gridCol w:w="5548"/>
      </w:tblGrid>
      <w:tr w14:paraId="3EE96CF9">
        <w:tblPrEx>
          <w:tblCellMar>
            <w:top w:w="15" w:type="dxa"/>
            <w:left w:w="15" w:type="dxa"/>
            <w:bottom w:w="15" w:type="dxa"/>
            <w:right w:w="15" w:type="dxa"/>
          </w:tblCellMar>
        </w:tblPrEx>
        <w:trPr>
          <w:trHeight w:val="637"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54A692CA">
            <w:pPr>
              <w:widowControl/>
              <w:jc w:val="center"/>
              <w:textAlignment w:val="center"/>
              <w:rPr>
                <w:rFonts w:hint="eastAsia" w:ascii="仿宋" w:hAnsi="仿宋" w:eastAsia="仿宋" w:cs="仿宋"/>
                <w:b/>
                <w:bCs/>
                <w:kern w:val="0"/>
                <w:sz w:val="24"/>
                <w:szCs w:val="24"/>
                <w:lang w:bidi="ar"/>
              </w:rPr>
            </w:pPr>
            <w:r>
              <w:rPr>
                <w:rFonts w:hint="eastAsia" w:ascii="仿宋" w:hAnsi="仿宋" w:eastAsia="仿宋" w:cs="仿宋"/>
                <w:b/>
                <w:sz w:val="24"/>
                <w:szCs w:val="24"/>
              </w:rPr>
              <w:t>交易时间</w:t>
            </w:r>
          </w:p>
        </w:tc>
        <w:tc>
          <w:tcPr>
            <w:tcW w:w="5548" w:type="dxa"/>
            <w:tcBorders>
              <w:top w:val="single" w:color="000000" w:sz="4" w:space="0"/>
              <w:left w:val="single" w:color="000000" w:sz="4" w:space="0"/>
              <w:bottom w:val="single" w:color="000000" w:sz="4" w:space="0"/>
              <w:right w:val="single" w:color="000000" w:sz="4" w:space="0"/>
            </w:tcBorders>
            <w:vAlign w:val="center"/>
          </w:tcPr>
          <w:p w14:paraId="155A2927">
            <w:pPr>
              <w:jc w:val="center"/>
              <w:rPr>
                <w:rFonts w:hint="eastAsia" w:ascii="仿宋" w:hAnsi="仿宋" w:eastAsia="仿宋" w:cs="仿宋"/>
                <w:sz w:val="24"/>
                <w:szCs w:val="24"/>
              </w:rPr>
            </w:pPr>
            <w:r>
              <w:rPr>
                <w:rFonts w:hint="eastAsia" w:ascii="仿宋" w:hAnsi="仿宋" w:eastAsia="仿宋" w:cs="仿宋"/>
                <w:bCs/>
                <w:sz w:val="24"/>
                <w:szCs w:val="24"/>
                <w:highlight w:val="none"/>
                <w:lang w:val="en-US" w:eastAsia="zh-CN"/>
              </w:rPr>
              <w:t>9月29日10:30-11:00</w:t>
            </w:r>
          </w:p>
        </w:tc>
      </w:tr>
      <w:tr w14:paraId="6320FCE3">
        <w:tblPrEx>
          <w:tblCellMar>
            <w:top w:w="15" w:type="dxa"/>
            <w:left w:w="15" w:type="dxa"/>
            <w:bottom w:w="15" w:type="dxa"/>
            <w:right w:w="15" w:type="dxa"/>
          </w:tblCellMar>
        </w:tblPrEx>
        <w:trPr>
          <w:trHeight w:val="637"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1C0661F4">
            <w:pPr>
              <w:widowControl/>
              <w:jc w:val="center"/>
              <w:textAlignment w:val="center"/>
              <w:rPr>
                <w:rFonts w:hint="eastAsia" w:ascii="仿宋" w:hAnsi="仿宋" w:eastAsia="仿宋" w:cs="仿宋"/>
                <w:b/>
                <w:bCs/>
                <w:sz w:val="24"/>
                <w:szCs w:val="24"/>
              </w:rPr>
            </w:pPr>
            <w:r>
              <w:rPr>
                <w:rFonts w:hint="eastAsia" w:ascii="仿宋" w:hAnsi="仿宋" w:eastAsia="仿宋" w:cs="仿宋"/>
                <w:b/>
                <w:bCs/>
                <w:kern w:val="0"/>
                <w:sz w:val="24"/>
                <w:szCs w:val="24"/>
                <w:lang w:bidi="ar"/>
              </w:rPr>
              <w:t>公司名称</w:t>
            </w:r>
          </w:p>
        </w:tc>
        <w:tc>
          <w:tcPr>
            <w:tcW w:w="5548" w:type="dxa"/>
            <w:tcBorders>
              <w:top w:val="single" w:color="000000" w:sz="4" w:space="0"/>
              <w:left w:val="single" w:color="000000" w:sz="4" w:space="0"/>
              <w:bottom w:val="single" w:color="000000" w:sz="4" w:space="0"/>
              <w:right w:val="single" w:color="000000" w:sz="4" w:space="0"/>
            </w:tcBorders>
            <w:vAlign w:val="center"/>
          </w:tcPr>
          <w:p w14:paraId="3BE88AC8">
            <w:pPr>
              <w:jc w:val="center"/>
              <w:rPr>
                <w:rFonts w:hint="eastAsia" w:ascii="仿宋" w:hAnsi="仿宋" w:eastAsia="仿宋" w:cs="仿宋"/>
                <w:sz w:val="24"/>
                <w:szCs w:val="24"/>
              </w:rPr>
            </w:pPr>
          </w:p>
        </w:tc>
      </w:tr>
      <w:tr w14:paraId="6EE550CA">
        <w:tblPrEx>
          <w:tblCellMar>
            <w:top w:w="15" w:type="dxa"/>
            <w:left w:w="15" w:type="dxa"/>
            <w:bottom w:w="15" w:type="dxa"/>
            <w:right w:w="15" w:type="dxa"/>
          </w:tblCellMar>
        </w:tblPrEx>
        <w:trPr>
          <w:trHeight w:val="637"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03926F54">
            <w:pPr>
              <w:widowControl/>
              <w:jc w:val="center"/>
              <w:textAlignment w:val="center"/>
              <w:rPr>
                <w:rFonts w:hint="eastAsia" w:ascii="仿宋" w:hAnsi="仿宋" w:eastAsia="仿宋" w:cs="仿宋"/>
                <w:b/>
                <w:bCs/>
                <w:sz w:val="24"/>
                <w:szCs w:val="24"/>
              </w:rPr>
            </w:pPr>
            <w:r>
              <w:rPr>
                <w:rFonts w:hint="eastAsia" w:ascii="仿宋" w:hAnsi="仿宋" w:eastAsia="仿宋" w:cs="仿宋"/>
                <w:b/>
                <w:color w:val="000000"/>
                <w:sz w:val="24"/>
                <w:szCs w:val="24"/>
              </w:rPr>
              <w:t>统一社会信用代码</w:t>
            </w:r>
          </w:p>
        </w:tc>
        <w:tc>
          <w:tcPr>
            <w:tcW w:w="5548" w:type="dxa"/>
            <w:tcBorders>
              <w:top w:val="single" w:color="000000" w:sz="4" w:space="0"/>
              <w:left w:val="single" w:color="000000" w:sz="4" w:space="0"/>
              <w:bottom w:val="single" w:color="000000" w:sz="4" w:space="0"/>
              <w:right w:val="single" w:color="000000" w:sz="4" w:space="0"/>
            </w:tcBorders>
            <w:vAlign w:val="center"/>
          </w:tcPr>
          <w:p w14:paraId="23C59B58">
            <w:pPr>
              <w:jc w:val="center"/>
              <w:rPr>
                <w:rFonts w:hint="eastAsia" w:ascii="仿宋" w:hAnsi="仿宋" w:eastAsia="仿宋" w:cs="仿宋"/>
                <w:sz w:val="24"/>
                <w:szCs w:val="24"/>
              </w:rPr>
            </w:pPr>
          </w:p>
        </w:tc>
      </w:tr>
      <w:tr w14:paraId="33C409E5">
        <w:tblPrEx>
          <w:tblCellMar>
            <w:top w:w="15" w:type="dxa"/>
            <w:left w:w="15" w:type="dxa"/>
            <w:bottom w:w="15" w:type="dxa"/>
            <w:right w:w="15" w:type="dxa"/>
          </w:tblCellMar>
        </w:tblPrEx>
        <w:trPr>
          <w:trHeight w:val="637"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6E593CB5">
            <w:pPr>
              <w:widowControl/>
              <w:jc w:val="center"/>
              <w:textAlignment w:val="center"/>
              <w:rPr>
                <w:rFonts w:hint="eastAsia" w:ascii="仿宋" w:hAnsi="仿宋" w:eastAsia="仿宋" w:cs="仿宋"/>
                <w:b/>
                <w:color w:val="000000"/>
                <w:sz w:val="24"/>
                <w:szCs w:val="24"/>
              </w:rPr>
            </w:pPr>
            <w:r>
              <w:rPr>
                <w:rFonts w:hint="eastAsia" w:ascii="仿宋" w:hAnsi="仿宋" w:eastAsia="仿宋" w:cs="仿宋"/>
                <w:b/>
                <w:color w:val="000000"/>
                <w:sz w:val="24"/>
                <w:szCs w:val="24"/>
              </w:rPr>
              <w:t>注册地址</w:t>
            </w:r>
          </w:p>
        </w:tc>
        <w:tc>
          <w:tcPr>
            <w:tcW w:w="5548" w:type="dxa"/>
            <w:tcBorders>
              <w:top w:val="single" w:color="000000" w:sz="4" w:space="0"/>
              <w:left w:val="single" w:color="000000" w:sz="4" w:space="0"/>
              <w:bottom w:val="single" w:color="000000" w:sz="4" w:space="0"/>
              <w:right w:val="single" w:color="000000" w:sz="4" w:space="0"/>
            </w:tcBorders>
            <w:vAlign w:val="center"/>
          </w:tcPr>
          <w:p w14:paraId="707AD82C">
            <w:pPr>
              <w:jc w:val="center"/>
              <w:rPr>
                <w:rFonts w:hint="eastAsia" w:ascii="仿宋" w:hAnsi="仿宋" w:eastAsia="仿宋" w:cs="仿宋"/>
                <w:sz w:val="24"/>
                <w:szCs w:val="24"/>
              </w:rPr>
            </w:pPr>
          </w:p>
        </w:tc>
      </w:tr>
      <w:tr w14:paraId="76732565">
        <w:tblPrEx>
          <w:tblCellMar>
            <w:top w:w="15" w:type="dxa"/>
            <w:left w:w="15" w:type="dxa"/>
            <w:bottom w:w="15" w:type="dxa"/>
            <w:right w:w="15" w:type="dxa"/>
          </w:tblCellMar>
        </w:tblPrEx>
        <w:trPr>
          <w:trHeight w:val="637"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02BC5E0D">
            <w:pPr>
              <w:widowControl/>
              <w:jc w:val="center"/>
              <w:textAlignment w:val="center"/>
              <w:rPr>
                <w:rFonts w:hint="eastAsia" w:ascii="仿宋" w:hAnsi="仿宋" w:eastAsia="仿宋" w:cs="仿宋"/>
                <w:b/>
                <w:color w:val="000000"/>
                <w:sz w:val="24"/>
                <w:szCs w:val="24"/>
              </w:rPr>
            </w:pPr>
            <w:r>
              <w:rPr>
                <w:rFonts w:hint="eastAsia" w:ascii="仿宋" w:hAnsi="仿宋" w:eastAsia="仿宋" w:cs="仿宋"/>
                <w:b/>
                <w:color w:val="000000"/>
                <w:sz w:val="24"/>
                <w:szCs w:val="24"/>
              </w:rPr>
              <w:t>注册资本金</w:t>
            </w:r>
          </w:p>
        </w:tc>
        <w:tc>
          <w:tcPr>
            <w:tcW w:w="5548" w:type="dxa"/>
            <w:tcBorders>
              <w:top w:val="single" w:color="000000" w:sz="4" w:space="0"/>
              <w:left w:val="single" w:color="000000" w:sz="4" w:space="0"/>
              <w:bottom w:val="single" w:color="000000" w:sz="4" w:space="0"/>
              <w:right w:val="single" w:color="000000" w:sz="4" w:space="0"/>
            </w:tcBorders>
            <w:vAlign w:val="center"/>
          </w:tcPr>
          <w:p w14:paraId="0F70D39F">
            <w:pPr>
              <w:jc w:val="center"/>
              <w:rPr>
                <w:rFonts w:hint="eastAsia" w:ascii="仿宋" w:hAnsi="仿宋" w:eastAsia="仿宋" w:cs="仿宋"/>
                <w:sz w:val="24"/>
                <w:szCs w:val="24"/>
              </w:rPr>
            </w:pPr>
          </w:p>
        </w:tc>
      </w:tr>
      <w:tr w14:paraId="1EBEEC19">
        <w:tblPrEx>
          <w:tblCellMar>
            <w:top w:w="15" w:type="dxa"/>
            <w:left w:w="15" w:type="dxa"/>
            <w:bottom w:w="15" w:type="dxa"/>
            <w:right w:w="15" w:type="dxa"/>
          </w:tblCellMar>
        </w:tblPrEx>
        <w:trPr>
          <w:trHeight w:val="848"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3A6E9219">
            <w:pPr>
              <w:widowControl/>
              <w:jc w:val="center"/>
              <w:textAlignment w:val="center"/>
              <w:rPr>
                <w:rFonts w:hint="eastAsia" w:ascii="仿宋" w:hAnsi="仿宋" w:eastAsia="仿宋" w:cs="仿宋"/>
                <w:b/>
                <w:bCs/>
                <w:kern w:val="0"/>
                <w:sz w:val="24"/>
                <w:szCs w:val="24"/>
                <w:lang w:bidi="ar"/>
              </w:rPr>
            </w:pPr>
            <w:r>
              <w:rPr>
                <w:rFonts w:hint="eastAsia" w:ascii="仿宋" w:hAnsi="仿宋" w:eastAsia="仿宋" w:cs="仿宋"/>
                <w:b/>
                <w:bCs/>
                <w:kern w:val="0"/>
                <w:sz w:val="24"/>
                <w:szCs w:val="24"/>
                <w:lang w:bidi="ar"/>
              </w:rPr>
              <w:t>是否为上海交易中心</w:t>
            </w:r>
          </w:p>
          <w:p w14:paraId="3EE78D0B">
            <w:pPr>
              <w:widowControl/>
              <w:jc w:val="center"/>
              <w:textAlignment w:val="center"/>
              <w:rPr>
                <w:rFonts w:hint="eastAsia" w:ascii="仿宋" w:hAnsi="仿宋" w:eastAsia="仿宋" w:cs="仿宋"/>
                <w:b/>
                <w:bCs/>
                <w:kern w:val="0"/>
                <w:sz w:val="24"/>
                <w:szCs w:val="24"/>
                <w:lang w:bidi="ar"/>
              </w:rPr>
            </w:pPr>
            <w:r>
              <w:rPr>
                <w:rFonts w:hint="eastAsia" w:ascii="仿宋" w:hAnsi="仿宋" w:eastAsia="仿宋" w:cs="仿宋"/>
                <w:b/>
                <w:bCs/>
                <w:kern w:val="0"/>
                <w:sz w:val="24"/>
                <w:szCs w:val="24"/>
                <w:lang w:bidi="ar"/>
              </w:rPr>
              <w:t>交易商会员</w:t>
            </w:r>
          </w:p>
        </w:tc>
        <w:tc>
          <w:tcPr>
            <w:tcW w:w="5548" w:type="dxa"/>
            <w:tcBorders>
              <w:top w:val="single" w:color="000000" w:sz="4" w:space="0"/>
              <w:left w:val="single" w:color="000000" w:sz="4" w:space="0"/>
              <w:bottom w:val="single" w:color="000000" w:sz="4" w:space="0"/>
              <w:right w:val="single" w:color="000000" w:sz="4" w:space="0"/>
            </w:tcBorders>
            <w:vAlign w:val="center"/>
          </w:tcPr>
          <w:p w14:paraId="541AAF2B">
            <w:pPr>
              <w:jc w:val="center"/>
              <w:rPr>
                <w:rFonts w:hint="eastAsia" w:ascii="仿宋" w:hAnsi="仿宋" w:eastAsia="仿宋" w:cs="仿宋"/>
                <w:sz w:val="24"/>
                <w:szCs w:val="24"/>
              </w:rPr>
            </w:pPr>
          </w:p>
        </w:tc>
      </w:tr>
      <w:tr w14:paraId="6F639230">
        <w:tblPrEx>
          <w:tblCellMar>
            <w:top w:w="15" w:type="dxa"/>
            <w:left w:w="15" w:type="dxa"/>
            <w:bottom w:w="15" w:type="dxa"/>
            <w:right w:w="15" w:type="dxa"/>
          </w:tblCellMar>
        </w:tblPrEx>
        <w:trPr>
          <w:trHeight w:val="628"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58A9188E">
            <w:pPr>
              <w:widowControl/>
              <w:jc w:val="center"/>
              <w:textAlignment w:val="center"/>
              <w:rPr>
                <w:rFonts w:hint="default" w:ascii="仿宋" w:hAnsi="仿宋" w:eastAsia="仿宋" w:cs="仿宋"/>
                <w:b/>
                <w:bCs/>
                <w:kern w:val="0"/>
                <w:sz w:val="24"/>
                <w:szCs w:val="24"/>
                <w:lang w:val="en-US" w:eastAsia="zh-CN" w:bidi="ar"/>
              </w:rPr>
            </w:pPr>
            <w:r>
              <w:rPr>
                <w:rFonts w:hint="eastAsia" w:ascii="仿宋" w:hAnsi="仿宋" w:eastAsia="仿宋" w:cs="仿宋"/>
                <w:b/>
                <w:bCs/>
                <w:kern w:val="0"/>
                <w:sz w:val="24"/>
                <w:szCs w:val="24"/>
                <w:lang w:val="en-US" w:eastAsia="zh-CN" w:bidi="ar"/>
              </w:rPr>
              <w:t>商位号</w:t>
            </w:r>
          </w:p>
        </w:tc>
        <w:tc>
          <w:tcPr>
            <w:tcW w:w="5548" w:type="dxa"/>
            <w:tcBorders>
              <w:top w:val="single" w:color="000000" w:sz="4" w:space="0"/>
              <w:left w:val="single" w:color="000000" w:sz="4" w:space="0"/>
              <w:bottom w:val="single" w:color="000000" w:sz="4" w:space="0"/>
              <w:right w:val="single" w:color="000000" w:sz="4" w:space="0"/>
            </w:tcBorders>
            <w:vAlign w:val="center"/>
          </w:tcPr>
          <w:p w14:paraId="65F73BDF">
            <w:pPr>
              <w:jc w:val="center"/>
              <w:rPr>
                <w:rFonts w:hint="eastAsia" w:ascii="仿宋" w:hAnsi="仿宋" w:eastAsia="仿宋" w:cs="仿宋"/>
                <w:sz w:val="24"/>
                <w:szCs w:val="24"/>
              </w:rPr>
            </w:pPr>
          </w:p>
        </w:tc>
      </w:tr>
      <w:tr w14:paraId="55C28431">
        <w:tblPrEx>
          <w:tblCellMar>
            <w:top w:w="15" w:type="dxa"/>
            <w:left w:w="15" w:type="dxa"/>
            <w:bottom w:w="15" w:type="dxa"/>
            <w:right w:w="15" w:type="dxa"/>
          </w:tblCellMar>
        </w:tblPrEx>
        <w:trPr>
          <w:trHeight w:val="628"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1D744F01">
            <w:pPr>
              <w:widowControl/>
              <w:jc w:val="center"/>
              <w:textAlignment w:val="center"/>
              <w:rPr>
                <w:rFonts w:hint="eastAsia" w:ascii="仿宋" w:hAnsi="仿宋" w:eastAsia="仿宋" w:cs="仿宋"/>
                <w:b/>
                <w:bCs/>
                <w:kern w:val="0"/>
                <w:sz w:val="24"/>
                <w:szCs w:val="24"/>
                <w:lang w:eastAsia="zh-CN" w:bidi="ar"/>
              </w:rPr>
            </w:pPr>
            <w:r>
              <w:rPr>
                <w:rFonts w:hint="eastAsia" w:ascii="仿宋" w:hAnsi="仿宋" w:eastAsia="仿宋" w:cs="仿宋"/>
                <w:b/>
                <w:bCs/>
                <w:kern w:val="0"/>
                <w:sz w:val="24"/>
                <w:szCs w:val="24"/>
                <w:lang w:val="en-US" w:eastAsia="zh-CN" w:bidi="ar"/>
              </w:rPr>
              <w:t>下载点</w:t>
            </w:r>
          </w:p>
        </w:tc>
        <w:tc>
          <w:tcPr>
            <w:tcW w:w="5548" w:type="dxa"/>
            <w:tcBorders>
              <w:top w:val="single" w:color="000000" w:sz="4" w:space="0"/>
              <w:left w:val="single" w:color="000000" w:sz="4" w:space="0"/>
              <w:bottom w:val="single" w:color="000000" w:sz="4" w:space="0"/>
              <w:right w:val="single" w:color="000000" w:sz="4" w:space="0"/>
            </w:tcBorders>
            <w:vAlign w:val="center"/>
          </w:tcPr>
          <w:p w14:paraId="4936C8CF">
            <w:pPr>
              <w:jc w:val="center"/>
              <w:rPr>
                <w:rFonts w:hint="eastAsia" w:ascii="仿宋" w:hAnsi="仿宋" w:eastAsia="仿宋" w:cs="仿宋"/>
                <w:sz w:val="24"/>
                <w:szCs w:val="24"/>
              </w:rPr>
            </w:pPr>
          </w:p>
        </w:tc>
      </w:tr>
      <w:tr w14:paraId="4463C717">
        <w:tblPrEx>
          <w:tblCellMar>
            <w:top w:w="15" w:type="dxa"/>
            <w:left w:w="15" w:type="dxa"/>
            <w:bottom w:w="15" w:type="dxa"/>
            <w:right w:w="15" w:type="dxa"/>
          </w:tblCellMar>
        </w:tblPrEx>
        <w:trPr>
          <w:trHeight w:val="717"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22562139">
            <w:pPr>
              <w:widowControl/>
              <w:jc w:val="center"/>
              <w:textAlignment w:val="center"/>
              <w:rPr>
                <w:rFonts w:hint="eastAsia" w:ascii="仿宋" w:hAnsi="仿宋" w:eastAsia="仿宋" w:cs="仿宋"/>
                <w:b/>
                <w:bCs/>
                <w:sz w:val="24"/>
                <w:szCs w:val="24"/>
              </w:rPr>
            </w:pPr>
            <w:r>
              <w:rPr>
                <w:rFonts w:hint="eastAsia" w:ascii="仿宋" w:hAnsi="仿宋" w:eastAsia="仿宋" w:cs="仿宋"/>
                <w:b/>
                <w:bCs/>
                <w:kern w:val="0"/>
                <w:sz w:val="24"/>
                <w:szCs w:val="24"/>
                <w:lang w:bidi="ar"/>
              </w:rPr>
              <w:t>联系人姓名</w:t>
            </w:r>
          </w:p>
        </w:tc>
        <w:tc>
          <w:tcPr>
            <w:tcW w:w="5548" w:type="dxa"/>
            <w:tcBorders>
              <w:top w:val="single" w:color="000000" w:sz="4" w:space="0"/>
              <w:left w:val="single" w:color="000000" w:sz="4" w:space="0"/>
              <w:bottom w:val="single" w:color="000000" w:sz="4" w:space="0"/>
              <w:right w:val="single" w:color="000000" w:sz="4" w:space="0"/>
            </w:tcBorders>
            <w:vAlign w:val="center"/>
          </w:tcPr>
          <w:p w14:paraId="5D453DE1">
            <w:pPr>
              <w:jc w:val="center"/>
              <w:rPr>
                <w:rFonts w:hint="eastAsia" w:ascii="仿宋" w:hAnsi="仿宋" w:eastAsia="仿宋" w:cs="仿宋"/>
                <w:sz w:val="24"/>
                <w:szCs w:val="24"/>
              </w:rPr>
            </w:pPr>
          </w:p>
        </w:tc>
      </w:tr>
      <w:tr w14:paraId="74A7D25A">
        <w:tblPrEx>
          <w:tblCellMar>
            <w:top w:w="15" w:type="dxa"/>
            <w:left w:w="15" w:type="dxa"/>
            <w:bottom w:w="15" w:type="dxa"/>
            <w:right w:w="15" w:type="dxa"/>
          </w:tblCellMar>
        </w:tblPrEx>
        <w:trPr>
          <w:trHeight w:val="721"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42D99BD7">
            <w:pPr>
              <w:widowControl/>
              <w:jc w:val="center"/>
              <w:textAlignment w:val="center"/>
              <w:rPr>
                <w:rFonts w:hint="eastAsia" w:ascii="仿宋" w:hAnsi="仿宋" w:eastAsia="仿宋" w:cs="仿宋"/>
                <w:b/>
                <w:bCs/>
                <w:sz w:val="24"/>
                <w:szCs w:val="24"/>
              </w:rPr>
            </w:pPr>
            <w:r>
              <w:rPr>
                <w:rFonts w:hint="eastAsia" w:ascii="仿宋" w:hAnsi="仿宋" w:eastAsia="仿宋" w:cs="仿宋"/>
                <w:b/>
                <w:bCs/>
                <w:kern w:val="0"/>
                <w:sz w:val="24"/>
                <w:szCs w:val="24"/>
                <w:lang w:bidi="ar"/>
              </w:rPr>
              <w:t>联系电话</w:t>
            </w:r>
          </w:p>
        </w:tc>
        <w:tc>
          <w:tcPr>
            <w:tcW w:w="5548" w:type="dxa"/>
            <w:tcBorders>
              <w:top w:val="single" w:color="000000" w:sz="4" w:space="0"/>
              <w:left w:val="single" w:color="000000" w:sz="4" w:space="0"/>
              <w:bottom w:val="single" w:color="000000" w:sz="4" w:space="0"/>
              <w:right w:val="single" w:color="000000" w:sz="4" w:space="0"/>
            </w:tcBorders>
            <w:vAlign w:val="center"/>
          </w:tcPr>
          <w:p w14:paraId="313C62D2">
            <w:pPr>
              <w:rPr>
                <w:rFonts w:hint="eastAsia" w:ascii="仿宋" w:hAnsi="仿宋" w:eastAsia="仿宋" w:cs="仿宋"/>
                <w:sz w:val="24"/>
                <w:szCs w:val="24"/>
              </w:rPr>
            </w:pPr>
          </w:p>
        </w:tc>
      </w:tr>
      <w:tr w14:paraId="0A9B9A3D">
        <w:tblPrEx>
          <w:tblCellMar>
            <w:top w:w="15" w:type="dxa"/>
            <w:left w:w="15" w:type="dxa"/>
            <w:bottom w:w="15" w:type="dxa"/>
            <w:right w:w="15" w:type="dxa"/>
          </w:tblCellMar>
        </w:tblPrEx>
        <w:trPr>
          <w:trHeight w:val="635"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653DAC25">
            <w:pPr>
              <w:widowControl/>
              <w:jc w:val="center"/>
              <w:textAlignment w:val="center"/>
              <w:rPr>
                <w:rFonts w:hint="eastAsia" w:ascii="仿宋" w:hAnsi="仿宋" w:eastAsia="仿宋" w:cs="仿宋"/>
                <w:b/>
                <w:bCs/>
                <w:kern w:val="0"/>
                <w:sz w:val="24"/>
                <w:szCs w:val="24"/>
                <w:lang w:bidi="ar"/>
              </w:rPr>
            </w:pPr>
            <w:r>
              <w:rPr>
                <w:rFonts w:hint="eastAsia" w:ascii="仿宋" w:hAnsi="仿宋" w:eastAsia="仿宋" w:cs="仿宋"/>
                <w:b/>
                <w:bCs/>
                <w:kern w:val="0"/>
                <w:sz w:val="24"/>
                <w:szCs w:val="24"/>
                <w:lang w:bidi="ar"/>
              </w:rPr>
              <w:t>邮箱</w:t>
            </w:r>
          </w:p>
        </w:tc>
        <w:tc>
          <w:tcPr>
            <w:tcW w:w="5548" w:type="dxa"/>
            <w:tcBorders>
              <w:top w:val="single" w:color="000000" w:sz="4" w:space="0"/>
              <w:left w:val="single" w:color="000000" w:sz="4" w:space="0"/>
              <w:bottom w:val="single" w:color="000000" w:sz="4" w:space="0"/>
              <w:right w:val="single" w:color="000000" w:sz="4" w:space="0"/>
            </w:tcBorders>
            <w:vAlign w:val="center"/>
          </w:tcPr>
          <w:p w14:paraId="0A02058D">
            <w:pPr>
              <w:jc w:val="center"/>
              <w:rPr>
                <w:rFonts w:hint="eastAsia" w:ascii="仿宋" w:hAnsi="仿宋" w:eastAsia="仿宋" w:cs="仿宋"/>
                <w:sz w:val="24"/>
                <w:szCs w:val="24"/>
              </w:rPr>
            </w:pPr>
          </w:p>
        </w:tc>
      </w:tr>
      <w:tr w14:paraId="22986113">
        <w:tblPrEx>
          <w:tblCellMar>
            <w:top w:w="15" w:type="dxa"/>
            <w:left w:w="15" w:type="dxa"/>
            <w:bottom w:w="15" w:type="dxa"/>
            <w:right w:w="15" w:type="dxa"/>
          </w:tblCellMar>
        </w:tblPrEx>
        <w:trPr>
          <w:trHeight w:val="718"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0E78C97D">
            <w:pPr>
              <w:widowControl/>
              <w:jc w:val="center"/>
              <w:textAlignment w:val="center"/>
              <w:rPr>
                <w:rFonts w:hint="eastAsia" w:ascii="仿宋" w:hAnsi="仿宋" w:eastAsia="仿宋" w:cs="仿宋"/>
                <w:b/>
                <w:bCs/>
                <w:kern w:val="0"/>
                <w:sz w:val="24"/>
                <w:szCs w:val="24"/>
                <w:lang w:bidi="ar"/>
              </w:rPr>
            </w:pPr>
            <w:r>
              <w:rPr>
                <w:rFonts w:hint="eastAsia" w:ascii="仿宋" w:hAnsi="仿宋" w:eastAsia="仿宋" w:cs="仿宋"/>
                <w:b/>
                <w:bCs/>
                <w:kern w:val="0"/>
                <w:sz w:val="24"/>
                <w:szCs w:val="24"/>
                <w:lang w:bidi="ar"/>
              </w:rPr>
              <w:t>备注</w:t>
            </w:r>
          </w:p>
        </w:tc>
        <w:tc>
          <w:tcPr>
            <w:tcW w:w="5548" w:type="dxa"/>
            <w:tcBorders>
              <w:top w:val="single" w:color="000000" w:sz="4" w:space="0"/>
              <w:left w:val="single" w:color="000000" w:sz="4" w:space="0"/>
              <w:bottom w:val="single" w:color="000000" w:sz="4" w:space="0"/>
              <w:right w:val="single" w:color="000000" w:sz="4" w:space="0"/>
            </w:tcBorders>
            <w:vAlign w:val="center"/>
          </w:tcPr>
          <w:p w14:paraId="4AD68425">
            <w:pPr>
              <w:jc w:val="center"/>
              <w:rPr>
                <w:rFonts w:hint="eastAsia" w:ascii="仿宋" w:hAnsi="仿宋" w:eastAsia="仿宋" w:cs="仿宋"/>
                <w:sz w:val="24"/>
                <w:szCs w:val="24"/>
              </w:rPr>
            </w:pPr>
          </w:p>
        </w:tc>
      </w:tr>
      <w:tr w14:paraId="4AAFD309">
        <w:tblPrEx>
          <w:tblCellMar>
            <w:top w:w="15" w:type="dxa"/>
            <w:left w:w="15" w:type="dxa"/>
            <w:bottom w:w="15" w:type="dxa"/>
            <w:right w:w="15" w:type="dxa"/>
          </w:tblCellMar>
        </w:tblPrEx>
        <w:trPr>
          <w:trHeight w:val="718" w:hRule="atLeast"/>
        </w:trPr>
        <w:tc>
          <w:tcPr>
            <w:tcW w:w="8520" w:type="dxa"/>
            <w:gridSpan w:val="2"/>
            <w:tcBorders>
              <w:top w:val="single" w:color="000000" w:sz="4" w:space="0"/>
              <w:left w:val="single" w:color="000000" w:sz="4" w:space="0"/>
              <w:bottom w:val="single" w:color="000000" w:sz="4" w:space="0"/>
              <w:right w:val="single" w:color="000000" w:sz="4" w:space="0"/>
            </w:tcBorders>
            <w:vAlign w:val="center"/>
          </w:tcPr>
          <w:p w14:paraId="4AD0E361">
            <w:pPr>
              <w:rPr>
                <w:rFonts w:hint="eastAsia" w:ascii="仿宋" w:hAnsi="仿宋" w:eastAsia="仿宋" w:cs="仿宋"/>
                <w:sz w:val="24"/>
                <w:szCs w:val="24"/>
              </w:rPr>
            </w:pPr>
            <w:r>
              <w:rPr>
                <w:rFonts w:hint="eastAsia" w:ascii="仿宋" w:hAnsi="仿宋" w:eastAsia="仿宋" w:cs="仿宋"/>
                <w:sz w:val="24"/>
                <w:szCs w:val="24"/>
              </w:rPr>
              <w:t>声明:本单位已仔细阅读并清楚知晓了本次交易公告及其他与本次交易相关的上海石油天然气交易中心规则，对前述内容已完全理解并同意遵守。同意授权上海石油天然气交易中心按交易公告处理保证金，并自愿承担相关法律风险和后果。</w:t>
            </w:r>
          </w:p>
        </w:tc>
      </w:tr>
    </w:tbl>
    <w:p w14:paraId="563FCF18">
      <w:pPr>
        <w:spacing w:after="240" w:line="480" w:lineRule="exact"/>
        <w:jc w:val="left"/>
        <w:outlineLvl w:val="0"/>
        <w:rPr>
          <w:rFonts w:hint="eastAsia" w:ascii="仿宋" w:hAnsi="仿宋" w:eastAsia="仿宋" w:cs="仿宋"/>
          <w:bCs/>
          <w:sz w:val="24"/>
          <w:szCs w:val="24"/>
        </w:rPr>
      </w:pPr>
      <w:r>
        <w:rPr>
          <w:rFonts w:hint="eastAsia" w:ascii="仿宋" w:hAnsi="仿宋" w:eastAsia="仿宋" w:cs="仿宋"/>
          <w:bCs/>
          <w:sz w:val="24"/>
          <w:szCs w:val="24"/>
        </w:rPr>
        <w:t>注:本表项目请完整填写，不能留有空项。</w:t>
      </w:r>
    </w:p>
    <w:p w14:paraId="68F8A8DA">
      <w:pPr>
        <w:spacing w:after="240" w:line="480" w:lineRule="exact"/>
        <w:jc w:val="left"/>
        <w:outlineLvl w:val="0"/>
        <w:rPr>
          <w:rFonts w:hint="eastAsia" w:ascii="仿宋" w:hAnsi="仿宋" w:eastAsia="仿宋" w:cs="仿宋"/>
          <w:bCs/>
          <w:sz w:val="24"/>
          <w:szCs w:val="24"/>
        </w:rPr>
      </w:pPr>
      <w:r>
        <w:rPr>
          <w:rFonts w:hint="eastAsia" w:ascii="仿宋" w:hAnsi="仿宋" w:eastAsia="仿宋" w:cs="仿宋"/>
          <w:bCs/>
          <w:sz w:val="24"/>
          <w:szCs w:val="24"/>
        </w:rPr>
        <w:t>将本表盖章发送至：PNG@shpgx.com。</w:t>
      </w:r>
    </w:p>
    <w:p w14:paraId="2672AAEF">
      <w:pPr>
        <w:tabs>
          <w:tab w:val="left" w:pos="2685"/>
        </w:tabs>
        <w:spacing w:line="520" w:lineRule="exact"/>
        <w:ind w:left="4760" w:leftChars="2000" w:hanging="560" w:hangingChars="200"/>
        <w:jc w:val="center"/>
        <w:rPr>
          <w:rFonts w:hint="eastAsia" w:ascii="仿宋" w:hAnsi="仿宋" w:eastAsia="仿宋" w:cs="仿宋"/>
          <w:sz w:val="28"/>
          <w:szCs w:val="28"/>
        </w:rPr>
      </w:pPr>
      <w:r>
        <w:rPr>
          <w:rFonts w:hint="eastAsia" w:ascii="仿宋" w:hAnsi="仿宋" w:eastAsia="仿宋" w:cs="仿宋"/>
          <w:sz w:val="28"/>
          <w:szCs w:val="28"/>
        </w:rPr>
        <w:t xml:space="preserve">公司（盖章）：  </w:t>
      </w:r>
    </w:p>
    <w:p w14:paraId="18145058">
      <w:pPr>
        <w:tabs>
          <w:tab w:val="left" w:pos="2685"/>
        </w:tabs>
        <w:spacing w:line="520" w:lineRule="exact"/>
        <w:ind w:left="4760" w:leftChars="2000" w:hanging="560" w:hangingChars="200"/>
        <w:jc w:val="right"/>
      </w:pPr>
      <w:r>
        <w:rPr>
          <w:rFonts w:hint="eastAsia" w:ascii="仿宋" w:hAnsi="仿宋" w:eastAsia="仿宋" w:cs="仿宋"/>
          <w:sz w:val="28"/>
          <w:szCs w:val="28"/>
        </w:rPr>
        <w:t>年    月    日</w:t>
      </w:r>
      <w:r>
        <w:rPr>
          <w:rFonts w:hint="eastAsia" w:ascii="方正仿宋简体" w:hAnsi="方正仿宋简体" w:eastAsia="方正仿宋简体" w:cs="方正仿宋简体"/>
          <w:sz w:val="28"/>
          <w:szCs w:val="28"/>
        </w:rPr>
        <w:t xml:space="preserve"> </w:t>
      </w:r>
    </w:p>
    <w:sectPr>
      <w:headerReference r:id="rId3" w:type="default"/>
      <w:footerReference r:id="rId4" w:type="default"/>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95C69AD-5589-4021-9B59-BBAF93436C9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简体">
    <w:panose1 w:val="02000000000000000000"/>
    <w:charset w:val="86"/>
    <w:family w:val="auto"/>
    <w:pitch w:val="default"/>
    <w:sig w:usb0="A00002BF" w:usb1="184F6CFA" w:usb2="00000012" w:usb3="00000000" w:csb0="00040001" w:csb1="00000000"/>
    <w:embedRegular r:id="rId2" w:fontKey="{58EA5F5C-B98E-4A2C-9B01-C4B95ACB4EB5}"/>
  </w:font>
  <w:font w:name="仿宋">
    <w:panose1 w:val="02010609060101010101"/>
    <w:charset w:val="86"/>
    <w:family w:val="modern"/>
    <w:pitch w:val="default"/>
    <w:sig w:usb0="800002BF" w:usb1="38CF7CFA" w:usb2="00000016" w:usb3="00000000" w:csb0="00040001" w:csb1="00000000"/>
    <w:embedRegular r:id="rId3" w:fontKey="{F6A5C73B-B1A6-481C-B6F6-C0BB791BFCAE}"/>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0FEB5F">
    <w:pPr>
      <w:pStyle w:val="2"/>
      <w:ind w:firstLine="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C7B2E18">
                          <w:pPr>
                            <w:pStyle w:val="2"/>
                          </w:pPr>
                          <w:r>
                            <w:fldChar w:fldCharType="begin"/>
                          </w:r>
                          <w:r>
                            <w:instrText xml:space="preserve"> PAGE  \* MERGEFORMAT </w:instrText>
                          </w:r>
                          <w:r>
                            <w:fldChar w:fldCharType="separate"/>
                          </w:r>
                          <w:r>
                            <w:t>- 6 -</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lxGWcABAACN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ZyDUgvDkmLFz6yagT1FwMp1QYzRuV1+DxvWQ9/EXbP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M6pebnPAAAABQEAAA8AAAAAAAAAAQAgAAAAIgAAAGRycy9kb3ducmV2LnhtbFBLAQIUABQA&#10;AAAIAIdO4kBaXEZZwAEAAI0DAAAOAAAAAAAAAAEAIAAAAB4BAABkcnMvZTJvRG9jLnhtbFBLBQYA&#10;AAAABgAGAFkBAABQBQAAAAA=&#10;">
              <v:fill on="f" focussize="0,0"/>
              <v:stroke on="f"/>
              <v:imagedata o:title=""/>
              <o:lock v:ext="edit" aspectratio="f"/>
              <v:textbox inset="0mm,0mm,0mm,0mm" style="mso-fit-shape-to-text:t;">
                <w:txbxContent>
                  <w:p w14:paraId="3C7B2E18">
                    <w:pPr>
                      <w:pStyle w:val="2"/>
                    </w:pPr>
                    <w:r>
                      <w:fldChar w:fldCharType="begin"/>
                    </w:r>
                    <w:r>
                      <w:instrText xml:space="preserve"> PAGE  \* MERGEFORMAT </w:instrText>
                    </w:r>
                    <w:r>
                      <w:fldChar w:fldCharType="separate"/>
                    </w:r>
                    <w:r>
                      <w:t>- 6 -</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AE1127">
    <w:pPr>
      <w:ind w:left="48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embedTrueTypeFonts/>
  <w:saveSubsetFonts/>
  <w:bordersDoNotSurroundHeader w:val="1"/>
  <w:bordersDoNotSurroundFooter w:val="1"/>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ZmYmVhNGIyOTlmMzcyYTBiMjRiMWMzYWE4ZTYxODIifQ=="/>
    <w:docVar w:name="KSO_WPS_MARK_KEY" w:val="0fea7e13-407f-4405-92d9-22d5aa83a2d3"/>
  </w:docVars>
  <w:rsids>
    <w:rsidRoot w:val="000E60A5"/>
    <w:rsid w:val="000211B6"/>
    <w:rsid w:val="0002272D"/>
    <w:rsid w:val="0003229D"/>
    <w:rsid w:val="00036D4F"/>
    <w:rsid w:val="00085157"/>
    <w:rsid w:val="00092031"/>
    <w:rsid w:val="00092032"/>
    <w:rsid w:val="000D1DBF"/>
    <w:rsid w:val="000E2719"/>
    <w:rsid w:val="000E4213"/>
    <w:rsid w:val="000E60A5"/>
    <w:rsid w:val="000E72BC"/>
    <w:rsid w:val="00116099"/>
    <w:rsid w:val="00120015"/>
    <w:rsid w:val="00127DFA"/>
    <w:rsid w:val="0013349A"/>
    <w:rsid w:val="001440B5"/>
    <w:rsid w:val="0016020A"/>
    <w:rsid w:val="0017437E"/>
    <w:rsid w:val="001A084B"/>
    <w:rsid w:val="001B27EB"/>
    <w:rsid w:val="001D5A73"/>
    <w:rsid w:val="001D5EEC"/>
    <w:rsid w:val="001E1183"/>
    <w:rsid w:val="001E2F8B"/>
    <w:rsid w:val="001E41C8"/>
    <w:rsid w:val="001E6865"/>
    <w:rsid w:val="001E708F"/>
    <w:rsid w:val="002176B0"/>
    <w:rsid w:val="00217ACA"/>
    <w:rsid w:val="002402C7"/>
    <w:rsid w:val="00241C59"/>
    <w:rsid w:val="00250E97"/>
    <w:rsid w:val="00255474"/>
    <w:rsid w:val="00255519"/>
    <w:rsid w:val="00260027"/>
    <w:rsid w:val="00277DAC"/>
    <w:rsid w:val="00280416"/>
    <w:rsid w:val="002A63BB"/>
    <w:rsid w:val="002B720E"/>
    <w:rsid w:val="002C2A9D"/>
    <w:rsid w:val="002C6AD2"/>
    <w:rsid w:val="002D095C"/>
    <w:rsid w:val="002D3FA8"/>
    <w:rsid w:val="00300EA7"/>
    <w:rsid w:val="00312F27"/>
    <w:rsid w:val="003171CA"/>
    <w:rsid w:val="00341A94"/>
    <w:rsid w:val="003432A3"/>
    <w:rsid w:val="00343539"/>
    <w:rsid w:val="003641D2"/>
    <w:rsid w:val="0036569F"/>
    <w:rsid w:val="00383308"/>
    <w:rsid w:val="003C367D"/>
    <w:rsid w:val="003C3A46"/>
    <w:rsid w:val="00413B35"/>
    <w:rsid w:val="0042696F"/>
    <w:rsid w:val="0043477E"/>
    <w:rsid w:val="0044332B"/>
    <w:rsid w:val="00447112"/>
    <w:rsid w:val="0045376D"/>
    <w:rsid w:val="004559FA"/>
    <w:rsid w:val="00481957"/>
    <w:rsid w:val="004B26BA"/>
    <w:rsid w:val="004B6065"/>
    <w:rsid w:val="004D64D1"/>
    <w:rsid w:val="004E1406"/>
    <w:rsid w:val="00507E89"/>
    <w:rsid w:val="00522EA2"/>
    <w:rsid w:val="00530256"/>
    <w:rsid w:val="00565F76"/>
    <w:rsid w:val="00582F35"/>
    <w:rsid w:val="005A651A"/>
    <w:rsid w:val="005E21CD"/>
    <w:rsid w:val="005F0A9B"/>
    <w:rsid w:val="005F380E"/>
    <w:rsid w:val="005F5C42"/>
    <w:rsid w:val="005F74A2"/>
    <w:rsid w:val="00603719"/>
    <w:rsid w:val="00611B53"/>
    <w:rsid w:val="00616478"/>
    <w:rsid w:val="00625878"/>
    <w:rsid w:val="00646C6D"/>
    <w:rsid w:val="0065347D"/>
    <w:rsid w:val="006541A1"/>
    <w:rsid w:val="0065745F"/>
    <w:rsid w:val="00657FCD"/>
    <w:rsid w:val="00673458"/>
    <w:rsid w:val="00687802"/>
    <w:rsid w:val="006C71A8"/>
    <w:rsid w:val="006E1928"/>
    <w:rsid w:val="00703051"/>
    <w:rsid w:val="007045C0"/>
    <w:rsid w:val="00735789"/>
    <w:rsid w:val="00747A77"/>
    <w:rsid w:val="007523AE"/>
    <w:rsid w:val="007650D4"/>
    <w:rsid w:val="00784FDA"/>
    <w:rsid w:val="007901BD"/>
    <w:rsid w:val="00794BA3"/>
    <w:rsid w:val="007B4CA7"/>
    <w:rsid w:val="007E5760"/>
    <w:rsid w:val="00810445"/>
    <w:rsid w:val="008206FA"/>
    <w:rsid w:val="00827D2B"/>
    <w:rsid w:val="00831DDF"/>
    <w:rsid w:val="00857400"/>
    <w:rsid w:val="008641ED"/>
    <w:rsid w:val="00866A89"/>
    <w:rsid w:val="00885A34"/>
    <w:rsid w:val="0089524B"/>
    <w:rsid w:val="008D1A1E"/>
    <w:rsid w:val="008F0F6C"/>
    <w:rsid w:val="008F6082"/>
    <w:rsid w:val="0091746D"/>
    <w:rsid w:val="009566C1"/>
    <w:rsid w:val="00990131"/>
    <w:rsid w:val="009912D6"/>
    <w:rsid w:val="009C398A"/>
    <w:rsid w:val="009C626D"/>
    <w:rsid w:val="009C728D"/>
    <w:rsid w:val="009E60F1"/>
    <w:rsid w:val="009F5E11"/>
    <w:rsid w:val="00A01539"/>
    <w:rsid w:val="00A048BC"/>
    <w:rsid w:val="00A07931"/>
    <w:rsid w:val="00A330EB"/>
    <w:rsid w:val="00A45EB8"/>
    <w:rsid w:val="00A50982"/>
    <w:rsid w:val="00A723DB"/>
    <w:rsid w:val="00A8132A"/>
    <w:rsid w:val="00A86E69"/>
    <w:rsid w:val="00A96A40"/>
    <w:rsid w:val="00AB5A98"/>
    <w:rsid w:val="00AF110E"/>
    <w:rsid w:val="00AF78F6"/>
    <w:rsid w:val="00B07A21"/>
    <w:rsid w:val="00B11ABE"/>
    <w:rsid w:val="00B11AC5"/>
    <w:rsid w:val="00B26938"/>
    <w:rsid w:val="00B44E59"/>
    <w:rsid w:val="00B774B0"/>
    <w:rsid w:val="00B83F61"/>
    <w:rsid w:val="00BA3A75"/>
    <w:rsid w:val="00BA609F"/>
    <w:rsid w:val="00BF37C1"/>
    <w:rsid w:val="00BF6270"/>
    <w:rsid w:val="00C26185"/>
    <w:rsid w:val="00C331D9"/>
    <w:rsid w:val="00C42654"/>
    <w:rsid w:val="00C61CD0"/>
    <w:rsid w:val="00C85F29"/>
    <w:rsid w:val="00CA5F1C"/>
    <w:rsid w:val="00CC3617"/>
    <w:rsid w:val="00CD5158"/>
    <w:rsid w:val="00CE64EA"/>
    <w:rsid w:val="00D12A6F"/>
    <w:rsid w:val="00D2596E"/>
    <w:rsid w:val="00D41F44"/>
    <w:rsid w:val="00D4746F"/>
    <w:rsid w:val="00D511AC"/>
    <w:rsid w:val="00D603DA"/>
    <w:rsid w:val="00DA0008"/>
    <w:rsid w:val="00DA48A5"/>
    <w:rsid w:val="00DB568F"/>
    <w:rsid w:val="00DC7B9D"/>
    <w:rsid w:val="00DD1469"/>
    <w:rsid w:val="00DE3B5A"/>
    <w:rsid w:val="00DE4135"/>
    <w:rsid w:val="00E1510A"/>
    <w:rsid w:val="00E16056"/>
    <w:rsid w:val="00E2258A"/>
    <w:rsid w:val="00E2300B"/>
    <w:rsid w:val="00E23281"/>
    <w:rsid w:val="00E24527"/>
    <w:rsid w:val="00E301D9"/>
    <w:rsid w:val="00E37D41"/>
    <w:rsid w:val="00E433F1"/>
    <w:rsid w:val="00E51EAC"/>
    <w:rsid w:val="00EB3E03"/>
    <w:rsid w:val="00EB7782"/>
    <w:rsid w:val="00F0247D"/>
    <w:rsid w:val="00F21610"/>
    <w:rsid w:val="00F609E9"/>
    <w:rsid w:val="00F620F6"/>
    <w:rsid w:val="00F63462"/>
    <w:rsid w:val="00F73BC8"/>
    <w:rsid w:val="00F763AD"/>
    <w:rsid w:val="00F97E60"/>
    <w:rsid w:val="00FA1C16"/>
    <w:rsid w:val="00FA44DF"/>
    <w:rsid w:val="00FC0774"/>
    <w:rsid w:val="00FD1033"/>
    <w:rsid w:val="00FD341B"/>
    <w:rsid w:val="00FD3F14"/>
    <w:rsid w:val="00FE14ED"/>
    <w:rsid w:val="00FF0D63"/>
    <w:rsid w:val="016063C0"/>
    <w:rsid w:val="01730582"/>
    <w:rsid w:val="01AD5116"/>
    <w:rsid w:val="01D06C53"/>
    <w:rsid w:val="023870D5"/>
    <w:rsid w:val="02B80216"/>
    <w:rsid w:val="036A24E0"/>
    <w:rsid w:val="040D654C"/>
    <w:rsid w:val="065535F3"/>
    <w:rsid w:val="07304563"/>
    <w:rsid w:val="08E06D97"/>
    <w:rsid w:val="09CF47C3"/>
    <w:rsid w:val="0BA93B9B"/>
    <w:rsid w:val="0C66005B"/>
    <w:rsid w:val="0D7C256C"/>
    <w:rsid w:val="0DE920B6"/>
    <w:rsid w:val="10D24103"/>
    <w:rsid w:val="11E5445B"/>
    <w:rsid w:val="12971BF6"/>
    <w:rsid w:val="12CB18A0"/>
    <w:rsid w:val="15861B5E"/>
    <w:rsid w:val="15945441"/>
    <w:rsid w:val="15C174A8"/>
    <w:rsid w:val="16E14399"/>
    <w:rsid w:val="18386583"/>
    <w:rsid w:val="19102C9B"/>
    <w:rsid w:val="19C55F05"/>
    <w:rsid w:val="1E4F5D50"/>
    <w:rsid w:val="1F1D139B"/>
    <w:rsid w:val="1F925749"/>
    <w:rsid w:val="208262FB"/>
    <w:rsid w:val="21726C3E"/>
    <w:rsid w:val="219853C3"/>
    <w:rsid w:val="21985D7F"/>
    <w:rsid w:val="22B1065D"/>
    <w:rsid w:val="236C268D"/>
    <w:rsid w:val="25652A69"/>
    <w:rsid w:val="256D4B98"/>
    <w:rsid w:val="26FC3E04"/>
    <w:rsid w:val="276B1F89"/>
    <w:rsid w:val="2B021A16"/>
    <w:rsid w:val="2B534960"/>
    <w:rsid w:val="2B906C54"/>
    <w:rsid w:val="2DE57D09"/>
    <w:rsid w:val="2DEF06E0"/>
    <w:rsid w:val="31E247E4"/>
    <w:rsid w:val="32E91BA2"/>
    <w:rsid w:val="35536F2B"/>
    <w:rsid w:val="358906D1"/>
    <w:rsid w:val="36A0316A"/>
    <w:rsid w:val="37007A1F"/>
    <w:rsid w:val="37BD13A2"/>
    <w:rsid w:val="385B0683"/>
    <w:rsid w:val="38A50319"/>
    <w:rsid w:val="38BB2F71"/>
    <w:rsid w:val="3CFE29F2"/>
    <w:rsid w:val="3F1354BF"/>
    <w:rsid w:val="3F7406F2"/>
    <w:rsid w:val="3FF616FF"/>
    <w:rsid w:val="40664832"/>
    <w:rsid w:val="422C131F"/>
    <w:rsid w:val="42326C74"/>
    <w:rsid w:val="44070895"/>
    <w:rsid w:val="4494465B"/>
    <w:rsid w:val="4666440E"/>
    <w:rsid w:val="499253C3"/>
    <w:rsid w:val="4A0F3E5B"/>
    <w:rsid w:val="4AF45F04"/>
    <w:rsid w:val="4C9B18EB"/>
    <w:rsid w:val="4DCF1EDE"/>
    <w:rsid w:val="4EC730C6"/>
    <w:rsid w:val="4FD95020"/>
    <w:rsid w:val="5161187A"/>
    <w:rsid w:val="53224E08"/>
    <w:rsid w:val="5664316A"/>
    <w:rsid w:val="578747A7"/>
    <w:rsid w:val="58AB013F"/>
    <w:rsid w:val="58D07640"/>
    <w:rsid w:val="5B491313"/>
    <w:rsid w:val="5D1300E5"/>
    <w:rsid w:val="5DA456BF"/>
    <w:rsid w:val="5DB1138B"/>
    <w:rsid w:val="5E9F7435"/>
    <w:rsid w:val="5EDE3733"/>
    <w:rsid w:val="5FC52ECB"/>
    <w:rsid w:val="607B389B"/>
    <w:rsid w:val="60AE65A8"/>
    <w:rsid w:val="624C20E4"/>
    <w:rsid w:val="62821E07"/>
    <w:rsid w:val="62A42563"/>
    <w:rsid w:val="62F33E80"/>
    <w:rsid w:val="641A743C"/>
    <w:rsid w:val="66295F5E"/>
    <w:rsid w:val="669B6734"/>
    <w:rsid w:val="673B0441"/>
    <w:rsid w:val="67CD6072"/>
    <w:rsid w:val="6A114A00"/>
    <w:rsid w:val="6B361121"/>
    <w:rsid w:val="6B9E0A74"/>
    <w:rsid w:val="6D26617F"/>
    <w:rsid w:val="6FFD6EED"/>
    <w:rsid w:val="73324219"/>
    <w:rsid w:val="74264699"/>
    <w:rsid w:val="74832921"/>
    <w:rsid w:val="754A10EB"/>
    <w:rsid w:val="7594531C"/>
    <w:rsid w:val="75BD5DC0"/>
    <w:rsid w:val="76B326FA"/>
    <w:rsid w:val="77A601D4"/>
    <w:rsid w:val="77EF217F"/>
    <w:rsid w:val="798A192A"/>
    <w:rsid w:val="79CD2B7C"/>
    <w:rsid w:val="7A3F030A"/>
    <w:rsid w:val="7A513FF5"/>
    <w:rsid w:val="7A666374"/>
    <w:rsid w:val="7DD134EB"/>
    <w:rsid w:val="7F5C05D3"/>
    <w:rsid w:val="7F7C5B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link w:val="8"/>
    <w:qFormat/>
    <w:uiPriority w:val="0"/>
    <w:pPr>
      <w:tabs>
        <w:tab w:val="center" w:pos="4153"/>
        <w:tab w:val="right" w:pos="8306"/>
      </w:tabs>
      <w:snapToGrid w:val="0"/>
      <w:jc w:val="center"/>
    </w:pPr>
    <w:rPr>
      <w:sz w:val="18"/>
      <w:szCs w:val="18"/>
    </w:rPr>
  </w:style>
  <w:style w:type="paragraph" w:customStyle="1" w:styleId="6">
    <w:name w:val="列出段落2"/>
    <w:basedOn w:val="1"/>
    <w:qFormat/>
    <w:uiPriority w:val="34"/>
    <w:pPr>
      <w:ind w:firstLine="420" w:firstLineChars="200"/>
    </w:pPr>
  </w:style>
  <w:style w:type="paragraph" w:styleId="7">
    <w:name w:val="List Paragraph"/>
    <w:basedOn w:val="1"/>
    <w:qFormat/>
    <w:uiPriority w:val="99"/>
    <w:pPr>
      <w:ind w:firstLine="420" w:firstLineChars="200"/>
    </w:pPr>
  </w:style>
  <w:style w:type="character" w:customStyle="1" w:styleId="8">
    <w:name w:val="页眉 字符"/>
    <w:basedOn w:val="5"/>
    <w:link w:val="3"/>
    <w:qFormat/>
    <w:uiPriority w:val="0"/>
    <w:rPr>
      <w:rFonts w:ascii="Calibri" w:hAnsi="Calibri"/>
      <w:kern w:val="2"/>
      <w:sz w:val="18"/>
      <w:szCs w:val="18"/>
    </w:rPr>
  </w:style>
  <w:style w:type="paragraph" w:customStyle="1" w:styleId="9">
    <w:name w:val="修订1"/>
    <w:hidden/>
    <w:semiHidden/>
    <w:qFormat/>
    <w:uiPriority w:val="99"/>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2033</Words>
  <Characters>2292</Characters>
  <Lines>17</Lines>
  <Paragraphs>4</Paragraphs>
  <TotalTime>84</TotalTime>
  <ScaleCrop>false</ScaleCrop>
  <LinksUpToDate>false</LinksUpToDate>
  <CharactersWithSpaces>2322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2025-03-17T05:45:00Z</dcterms:created>
  <dc:creator>陶鹏</dc:creator>
  <cp:lastModifiedBy>微信用户</cp:lastModifiedBy>
  <cp:lastPrinted>2025-04-30T08:56:00Z</cp:lastPrinted>
  <dcterms:modified xsi:type="dcterms:W3CDTF">2026-09-24T06:02:48Z</dcterms:modified>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11C40986FA2947C3A96973A9949475C9_13</vt:lpwstr>
  </property>
  <property fmtid="{D5CDD505-2E9C-101B-9397-08002B2CF9AE}" pid="4" name="KSOTemplateDocerSaveRecord">
    <vt:lpwstr>eyJoZGlkIjoiMTMwOWVlNmE5NjQzNDU0ODg5MjFlNzdiZjFmZTYyNmMiLCJ1c2VySWQiOiIxNDk5OTU5OTQ2In0=</vt:lpwstr>
  </property>
</Properties>
</file>